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03EA" w14:textId="40C57082" w:rsidR="0050733E" w:rsidRDefault="003A7E39" w:rsidP="003538F1">
      <w:pPr>
        <w:pStyle w:val="Overskrift1"/>
        <w:rPr>
          <w:b/>
          <w:bCs/>
          <w:i/>
          <w:iCs/>
          <w:sz w:val="40"/>
          <w:szCs w:val="40"/>
        </w:rPr>
      </w:pPr>
      <w:r w:rsidRPr="003538F1">
        <w:rPr>
          <w:b/>
          <w:bCs/>
          <w:sz w:val="40"/>
          <w:szCs w:val="40"/>
        </w:rPr>
        <w:t xml:space="preserve">Kilder til kapitlet om Buddhisme i </w:t>
      </w:r>
      <w:r w:rsidRPr="003538F1">
        <w:rPr>
          <w:b/>
          <w:bCs/>
          <w:i/>
          <w:iCs/>
          <w:sz w:val="40"/>
          <w:szCs w:val="40"/>
        </w:rPr>
        <w:t>Religioner lever</w:t>
      </w:r>
    </w:p>
    <w:p w14:paraId="7179FA93" w14:textId="0CD1805D" w:rsidR="00FE0EF0" w:rsidRDefault="00FE0EF0" w:rsidP="00FE0EF0"/>
    <w:p w14:paraId="268B9524" w14:textId="6F325FB6" w:rsidR="00FE0EF0" w:rsidRDefault="00E55FAF" w:rsidP="00FE0EF0">
      <w:pPr>
        <w:pStyle w:val="Overskrift2"/>
        <w:numPr>
          <w:ilvl w:val="0"/>
          <w:numId w:val="2"/>
        </w:numPr>
      </w:pPr>
      <w:hyperlink w:anchor="Buddhas_kriger" w:history="1">
        <w:r w:rsidR="00FE0EF0" w:rsidRPr="00E55FAF">
          <w:rPr>
            <w:rStyle w:val="Hyperlink"/>
          </w:rPr>
          <w:t>”Buddhas kriger”</w:t>
        </w:r>
      </w:hyperlink>
      <w:r w:rsidR="00FE0EF0" w:rsidRPr="00D0786A">
        <w:t xml:space="preserve"> </w:t>
      </w:r>
    </w:p>
    <w:p w14:paraId="4C302D6B" w14:textId="768ABFE2" w:rsidR="00FE0EF0" w:rsidRDefault="00E55FAF" w:rsidP="00FE0EF0">
      <w:pPr>
        <w:pStyle w:val="Overskrift2"/>
        <w:numPr>
          <w:ilvl w:val="0"/>
          <w:numId w:val="2"/>
        </w:numPr>
      </w:pPr>
      <w:hyperlink w:anchor="Nirvana" w:history="1">
        <w:r w:rsidR="00FE0EF0" w:rsidRPr="00E55FAF">
          <w:rPr>
            <w:rStyle w:val="Hyperlink"/>
          </w:rPr>
          <w:t>Nirvana beskrevet af dansk religionshistoriker</w:t>
        </w:r>
      </w:hyperlink>
    </w:p>
    <w:p w14:paraId="14219515" w14:textId="26CEE66F" w:rsidR="00FE0EF0" w:rsidRDefault="00E55FAF" w:rsidP="00FE0EF0">
      <w:pPr>
        <w:pStyle w:val="Overskrift2"/>
        <w:numPr>
          <w:ilvl w:val="0"/>
          <w:numId w:val="2"/>
        </w:numPr>
      </w:pPr>
      <w:hyperlink w:anchor="Buddhistisk_klippeinskription" w:history="1">
        <w:r w:rsidR="00FE0EF0" w:rsidRPr="00E55FAF">
          <w:rPr>
            <w:rStyle w:val="Hyperlink"/>
          </w:rPr>
          <w:t xml:space="preserve">Buddhistisk klippeinskription fra Nordindien på initiativ af kong </w:t>
        </w:r>
        <w:proofErr w:type="spellStart"/>
        <w:r w:rsidR="00FE0EF0" w:rsidRPr="00E55FAF">
          <w:rPr>
            <w:rStyle w:val="Hyperlink"/>
          </w:rPr>
          <w:t>Asoka</w:t>
        </w:r>
        <w:proofErr w:type="spellEnd"/>
      </w:hyperlink>
      <w:r w:rsidR="00FE0EF0" w:rsidRPr="00FE0EF0">
        <w:t xml:space="preserve"> </w:t>
      </w:r>
    </w:p>
    <w:p w14:paraId="66F8A5C3" w14:textId="273FBD3E" w:rsidR="00FE0EF0" w:rsidRDefault="00E55FAF" w:rsidP="00FE0EF0">
      <w:pPr>
        <w:pStyle w:val="Overskrift2"/>
        <w:numPr>
          <w:ilvl w:val="0"/>
          <w:numId w:val="2"/>
        </w:numPr>
      </w:pPr>
      <w:hyperlink w:anchor="Buddha_om_middelvejen" w:history="1">
        <w:r w:rsidR="00FE0EF0" w:rsidRPr="00E55FAF">
          <w:rPr>
            <w:rStyle w:val="Hyperlink"/>
          </w:rPr>
          <w:t>Buddha om middelvejen og Nirvana</w:t>
        </w:r>
      </w:hyperlink>
    </w:p>
    <w:p w14:paraId="3FEB8C1B" w14:textId="05664C59" w:rsidR="00FE0EF0" w:rsidRDefault="00E55FAF" w:rsidP="00FE0EF0">
      <w:pPr>
        <w:pStyle w:val="Overskrift2"/>
        <w:numPr>
          <w:ilvl w:val="0"/>
          <w:numId w:val="2"/>
        </w:numPr>
      </w:pPr>
      <w:hyperlink w:anchor="Munkelivet_i_tibet" w:history="1">
        <w:r w:rsidR="00FE0EF0" w:rsidRPr="00E55FAF">
          <w:rPr>
            <w:rStyle w:val="Hyperlink"/>
          </w:rPr>
          <w:t>”Munkeliv i Tibet”</w:t>
        </w:r>
      </w:hyperlink>
    </w:p>
    <w:p w14:paraId="49D3C31C" w14:textId="62618FF2" w:rsidR="00FE0EF0" w:rsidRPr="00FE0EF0" w:rsidRDefault="00E55FAF" w:rsidP="00FE0EF0">
      <w:pPr>
        <w:pStyle w:val="Overskrift2"/>
        <w:numPr>
          <w:ilvl w:val="0"/>
          <w:numId w:val="2"/>
        </w:numPr>
      </w:pPr>
      <w:hyperlink w:anchor="de_10_forskrifter" w:history="1">
        <w:r w:rsidR="00FE0EF0" w:rsidRPr="00E55FAF">
          <w:rPr>
            <w:rStyle w:val="Hyperlink"/>
          </w:rPr>
          <w:t>”De 10 forskrifter”</w:t>
        </w:r>
      </w:hyperlink>
    </w:p>
    <w:p w14:paraId="36504172" w14:textId="77777777" w:rsidR="00FE0EF0" w:rsidRPr="00FE0EF0" w:rsidRDefault="00FE0EF0" w:rsidP="00FE0EF0"/>
    <w:p w14:paraId="1940266A" w14:textId="6BFC29D1" w:rsidR="00FE0EF0" w:rsidRDefault="00FE0EF0" w:rsidP="00FE0EF0">
      <w:pPr>
        <w:pBdr>
          <w:bottom w:val="single" w:sz="12" w:space="1" w:color="auto"/>
        </w:pBdr>
        <w:rPr>
          <w:rStyle w:val="Overskrift2Tegn"/>
          <w:b w:val="0"/>
          <w:bCs w:val="0"/>
        </w:rPr>
      </w:pPr>
    </w:p>
    <w:p w14:paraId="1D2D0B9C" w14:textId="77777777" w:rsidR="00FE0EF0" w:rsidRPr="00FE0EF0" w:rsidRDefault="00FE0EF0" w:rsidP="00FE0EF0"/>
    <w:p w14:paraId="7DB963A2" w14:textId="77777777" w:rsidR="00FE0EF0" w:rsidRPr="00FE0EF0" w:rsidRDefault="00FE0EF0" w:rsidP="00FE0EF0"/>
    <w:p w14:paraId="5C363491" w14:textId="77777777" w:rsidR="00FE0EF0" w:rsidRPr="00FE0EF0" w:rsidRDefault="00FE0EF0" w:rsidP="00FE0EF0"/>
    <w:tbl>
      <w:tblPr>
        <w:tblStyle w:val="Tabel-Gitter"/>
        <w:tblW w:w="0" w:type="auto"/>
        <w:tblLook w:val="04A0" w:firstRow="1" w:lastRow="0" w:firstColumn="1" w:lastColumn="0" w:noHBand="0" w:noVBand="1"/>
      </w:tblPr>
      <w:tblGrid>
        <w:gridCol w:w="9628"/>
      </w:tblGrid>
      <w:tr w:rsidR="00D0786A" w:rsidRPr="00D0786A" w14:paraId="11E258A9" w14:textId="77777777" w:rsidTr="00063FC7">
        <w:tc>
          <w:tcPr>
            <w:tcW w:w="9628" w:type="dxa"/>
          </w:tcPr>
          <w:p w14:paraId="21C8F483" w14:textId="665A76B2" w:rsidR="00D0786A" w:rsidRPr="00D0786A" w:rsidRDefault="00D0786A" w:rsidP="00D0786A">
            <w:pPr>
              <w:spacing w:after="160" w:line="259" w:lineRule="auto"/>
              <w:rPr>
                <w:bCs/>
                <w:sz w:val="28"/>
              </w:rPr>
            </w:pPr>
            <w:bookmarkStart w:id="0" w:name="Buddhas_kriger"/>
            <w:r w:rsidRPr="00D0786A">
              <w:rPr>
                <w:b/>
                <w:bCs/>
                <w:sz w:val="28"/>
              </w:rPr>
              <w:t>Buddhisme, islam og ’flok-giften’</w:t>
            </w:r>
            <w:bookmarkEnd w:id="0"/>
            <w:r w:rsidRPr="00D0786A">
              <w:rPr>
                <w:b/>
                <w:bCs/>
                <w:sz w:val="28"/>
              </w:rPr>
              <w:t>.</w:t>
            </w:r>
            <w:r w:rsidRPr="00D0786A">
              <w:rPr>
                <w:bCs/>
                <w:sz w:val="28"/>
              </w:rPr>
              <w:t xml:space="preserve"> I et kontroversielt interview </w:t>
            </w:r>
            <w:r w:rsidR="005A42E0">
              <w:rPr>
                <w:bCs/>
                <w:sz w:val="28"/>
              </w:rPr>
              <w:t xml:space="preserve">til avisen Information i 2009 </w:t>
            </w:r>
            <w:r w:rsidRPr="00D0786A">
              <w:rPr>
                <w:bCs/>
                <w:sz w:val="28"/>
              </w:rPr>
              <w:t>g</w:t>
            </w:r>
            <w:r w:rsidR="005A42E0">
              <w:rPr>
                <w:bCs/>
                <w:sz w:val="28"/>
              </w:rPr>
              <w:t xml:space="preserve">av </w:t>
            </w:r>
            <w:r w:rsidRPr="00D0786A">
              <w:rPr>
                <w:bCs/>
                <w:sz w:val="28"/>
              </w:rPr>
              <w:t xml:space="preserve">Lama Ole Nydahl udtryk for en kritisk holdning overfor islam. </w:t>
            </w:r>
            <w:r w:rsidR="005A42E0">
              <w:rPr>
                <w:bCs/>
                <w:sz w:val="28"/>
              </w:rPr>
              <w:t xml:space="preserve">Interviewet skal læses i den historiske kontekst, </w:t>
            </w:r>
            <w:r w:rsidR="00CD6028">
              <w:rPr>
                <w:bCs/>
                <w:sz w:val="28"/>
              </w:rPr>
              <w:t xml:space="preserve">at man i Vesten fra 2001 og frem havde oplevet en fremvækst </w:t>
            </w:r>
            <w:r w:rsidR="00131629">
              <w:rPr>
                <w:bCs/>
                <w:sz w:val="28"/>
              </w:rPr>
              <w:t>i</w:t>
            </w:r>
            <w:r w:rsidR="00CD6028">
              <w:rPr>
                <w:bCs/>
                <w:sz w:val="28"/>
              </w:rPr>
              <w:t xml:space="preserve"> islamistisk</w:t>
            </w:r>
            <w:r w:rsidR="00131629">
              <w:rPr>
                <w:bCs/>
                <w:sz w:val="28"/>
              </w:rPr>
              <w:t>e</w:t>
            </w:r>
            <w:r w:rsidR="00CD6028">
              <w:rPr>
                <w:bCs/>
                <w:sz w:val="28"/>
              </w:rPr>
              <w:t xml:space="preserve"> terror</w:t>
            </w:r>
            <w:r w:rsidR="00131629">
              <w:rPr>
                <w:bCs/>
                <w:sz w:val="28"/>
              </w:rPr>
              <w:t>handlinger</w:t>
            </w:r>
            <w:r w:rsidR="00CD6028">
              <w:rPr>
                <w:bCs/>
                <w:sz w:val="28"/>
              </w:rPr>
              <w:t xml:space="preserve">. Dels </w:t>
            </w:r>
            <w:r w:rsidR="00131629">
              <w:rPr>
                <w:bCs/>
                <w:sz w:val="28"/>
              </w:rPr>
              <w:t xml:space="preserve">i den kontekst </w:t>
            </w:r>
            <w:r w:rsidR="00CD6028">
              <w:rPr>
                <w:bCs/>
                <w:sz w:val="28"/>
              </w:rPr>
              <w:t xml:space="preserve">at </w:t>
            </w:r>
            <w:r w:rsidR="005A42E0">
              <w:rPr>
                <w:bCs/>
                <w:sz w:val="28"/>
              </w:rPr>
              <w:t>Danmark</w:t>
            </w:r>
            <w:r w:rsidR="00131629">
              <w:rPr>
                <w:bCs/>
                <w:sz w:val="28"/>
              </w:rPr>
              <w:t>,</w:t>
            </w:r>
            <w:r w:rsidR="005A42E0">
              <w:rPr>
                <w:bCs/>
                <w:sz w:val="28"/>
              </w:rPr>
              <w:t xml:space="preserve"> få år f</w:t>
            </w:r>
            <w:r w:rsidR="00CD6028">
              <w:rPr>
                <w:bCs/>
                <w:sz w:val="28"/>
              </w:rPr>
              <w:t>ør interviewet</w:t>
            </w:r>
            <w:r w:rsidR="00131629">
              <w:rPr>
                <w:bCs/>
                <w:sz w:val="28"/>
              </w:rPr>
              <w:t xml:space="preserve"> blev gennemført,</w:t>
            </w:r>
            <w:r w:rsidR="005A42E0">
              <w:rPr>
                <w:bCs/>
                <w:sz w:val="28"/>
              </w:rPr>
              <w:t xml:space="preserve"> havde fået verdenssamfundets opmærksomhed i forbindelsen med Jyllands-Postens udgivelse af de nu berømte ’Muhammed-tegninger’. </w:t>
            </w:r>
            <w:r w:rsidRPr="00D0786A">
              <w:rPr>
                <w:bCs/>
                <w:sz w:val="28"/>
              </w:rPr>
              <w:t xml:space="preserve">Undervejs </w:t>
            </w:r>
            <w:r w:rsidR="005A42E0">
              <w:rPr>
                <w:bCs/>
                <w:sz w:val="28"/>
              </w:rPr>
              <w:t xml:space="preserve">i Interviewet </w:t>
            </w:r>
            <w:r w:rsidRPr="00D0786A">
              <w:rPr>
                <w:bCs/>
                <w:sz w:val="28"/>
              </w:rPr>
              <w:t xml:space="preserve">forholder </w:t>
            </w:r>
            <w:r w:rsidR="005A42E0">
              <w:rPr>
                <w:bCs/>
                <w:sz w:val="28"/>
              </w:rPr>
              <w:t>Lama Ole</w:t>
            </w:r>
            <w:r w:rsidRPr="00D0786A">
              <w:rPr>
                <w:bCs/>
                <w:sz w:val="28"/>
              </w:rPr>
              <w:t xml:space="preserve"> sig både afvisende overfor </w:t>
            </w:r>
            <w:proofErr w:type="spellStart"/>
            <w:r w:rsidRPr="00D0786A">
              <w:rPr>
                <w:bCs/>
                <w:sz w:val="28"/>
              </w:rPr>
              <w:t>Sharia</w:t>
            </w:r>
            <w:proofErr w:type="spellEnd"/>
            <w:r w:rsidRPr="00D0786A">
              <w:rPr>
                <w:bCs/>
                <w:sz w:val="28"/>
              </w:rPr>
              <w:t>, koranen og aspekter ved et islamisk kvindesyn.</w:t>
            </w:r>
          </w:p>
          <w:p w14:paraId="35590A86" w14:textId="77777777" w:rsidR="00D0786A" w:rsidRPr="00D0786A" w:rsidRDefault="00D0786A" w:rsidP="003538F1">
            <w:pPr>
              <w:pStyle w:val="Overskrift2"/>
              <w:outlineLvl w:val="1"/>
            </w:pPr>
            <w:r w:rsidRPr="00D0786A">
              <w:t>”Buddhas kriger” (uddrag fra Information 19. juni 2009).</w:t>
            </w:r>
          </w:p>
          <w:p w14:paraId="33F594B7" w14:textId="77777777" w:rsidR="00D0786A" w:rsidRPr="00D0786A" w:rsidRDefault="00D0786A" w:rsidP="00D0786A">
            <w:pPr>
              <w:spacing w:after="160" w:line="259" w:lineRule="auto"/>
              <w:rPr>
                <w:bCs/>
                <w:sz w:val="28"/>
              </w:rPr>
            </w:pPr>
            <w:r w:rsidRPr="00D0786A">
              <w:rPr>
                <w:bCs/>
                <w:sz w:val="28"/>
              </w:rPr>
              <w:t xml:space="preserve">”… »Vi er fredelige, men vi er ikke feje, vi er ikke krystere,« siger Ole Nydahl. »Det viser sig, at besværlige folk opfører sig bedre, hvis man er stærk. Det var den måde, vi klarede kommunismen på, og jeg synes, det har vist sig at være et historisk princip, man kan bygge på.« … forklarer Ole Nydahl og understreger, at buddhismen jo er fuldkommen upolitisk og ikke har »noget forhold til noget som helst« inklusiv islam, der først kom til 1300 år efter, Buddha levede… </w:t>
            </w:r>
            <w:r w:rsidRPr="00D0786A">
              <w:rPr>
                <w:sz w:val="28"/>
              </w:rPr>
              <w:t xml:space="preserve">og tilføjer så, at det på den anden side altid er pinligt, hvis man får gæster, som man inviterer eller tillader at komme, fordi man er venlig, og de så pludselig opfører sig helt anderledes, end man selv gør og overtræder forskellige love og menneskelige hensyn. »Så åbner man øjnene og siger - hvad skete der? Troede nogle, at hvis de bare rejste over et par grænser, så blev de danskere og fik de samme værdier, som </w:t>
            </w:r>
            <w:r w:rsidRPr="00D0786A">
              <w:rPr>
                <w:sz w:val="28"/>
              </w:rPr>
              <w:lastRenderedPageBreak/>
              <w:t>vi har? Det er der jo nok nogen af os, der har bemærket, at det har de ikke fået. Så hører man om disse æresdrab, som er gået Europa rundt. Og jeg har selv rejst gennem de muslimske lande, og man hører om kvinder, der bliver stenet i Iran og Somalia, og så spørger man sig selv, hvad er det for noget. Er det noget, der gavner mennesker, eller er det noget man skal prøve at inddæmme, hvis man kan?«</w:t>
            </w:r>
          </w:p>
          <w:p w14:paraId="6F5708BE" w14:textId="77777777" w:rsidR="00D0786A" w:rsidRPr="00D0786A" w:rsidRDefault="00D0786A" w:rsidP="00D0786A">
            <w:pPr>
              <w:spacing w:after="160" w:line="259" w:lineRule="auto"/>
              <w:rPr>
                <w:sz w:val="28"/>
              </w:rPr>
            </w:pPr>
            <w:r w:rsidRPr="00D0786A">
              <w:rPr>
                <w:sz w:val="28"/>
              </w:rPr>
              <w:t xml:space="preserve">Det er altså vigtigt at være »i stand til at passe på«, og Ole Nydahl har tidligere i et interview i Trykkefrihedsselskabets blad </w:t>
            </w:r>
            <w:proofErr w:type="spellStart"/>
            <w:r w:rsidRPr="00D0786A">
              <w:rPr>
                <w:sz w:val="28"/>
              </w:rPr>
              <w:t>Sappho</w:t>
            </w:r>
            <w:proofErr w:type="spellEnd"/>
            <w:r w:rsidRPr="00D0786A">
              <w:rPr>
                <w:sz w:val="28"/>
              </w:rPr>
              <w:t xml:space="preserve"> talt for, at unge danske mænd melder sig til Hjemmeværnet.</w:t>
            </w:r>
          </w:p>
          <w:p w14:paraId="78F7602C" w14:textId="77777777" w:rsidR="00D0786A" w:rsidRPr="00D0786A" w:rsidRDefault="00D0786A" w:rsidP="00D0786A">
            <w:pPr>
              <w:spacing w:after="160" w:line="259" w:lineRule="auto"/>
              <w:rPr>
                <w:sz w:val="28"/>
              </w:rPr>
            </w:pPr>
            <w:r w:rsidRPr="00D0786A">
              <w:rPr>
                <w:sz w:val="28"/>
              </w:rPr>
              <w:t>- Men er der ikke lidt langt fra integrationsproblemer og til at gøre klar til væbnet kamp?</w:t>
            </w:r>
          </w:p>
          <w:p w14:paraId="453181A1" w14:textId="77777777" w:rsidR="00D0786A" w:rsidRPr="00D0786A" w:rsidRDefault="00D0786A" w:rsidP="00D0786A">
            <w:pPr>
              <w:spacing w:after="160" w:line="259" w:lineRule="auto"/>
              <w:rPr>
                <w:sz w:val="28"/>
              </w:rPr>
            </w:pPr>
            <w:r w:rsidRPr="00D0786A">
              <w:rPr>
                <w:sz w:val="28"/>
              </w:rPr>
              <w:t xml:space="preserve">»Jamen, et land forsvarer sig med politiet først, og hvis der så kommer store, ydre farer, har man også en hær. Sådan har det altid været. Vi beskytter vort land, og vi beskytter vores befolkninger, og også vores kvinder og vores friheder. Så hvis der er nogle unge mennesker, der vil gennemgå en uddannelse, fordi de føler et ansvar over for deres land og deres kultur, er det da en nobel ting… I visse tilfælde reagerer folk ret hurtigt, men i andre er det svært for dem rigtigt at opdage, hvad problemet er, og det er så de tider, hvor det er en, der rejser lidt mere og har lidt mere udsyn og læser lidt mere verdenspresse end danskere normalt, og som føler et ansvar, nævner et par ting. Et eksempel er </w:t>
            </w:r>
            <w:proofErr w:type="spellStart"/>
            <w:r w:rsidRPr="00D0786A">
              <w:rPr>
                <w:sz w:val="28"/>
              </w:rPr>
              <w:t>sharia</w:t>
            </w:r>
            <w:proofErr w:type="spellEnd"/>
            <w:r w:rsidRPr="00D0786A">
              <w:rPr>
                <w:sz w:val="28"/>
              </w:rPr>
              <w:t xml:space="preserve">. Det er jo det, vi er nødt til at være imod. At folk er kulturelle muslimer, det kan de være, hvis de vil, men hvis de prøver at presse </w:t>
            </w:r>
            <w:proofErr w:type="spellStart"/>
            <w:r w:rsidRPr="00D0786A">
              <w:rPr>
                <w:sz w:val="28"/>
              </w:rPr>
              <w:t>sharia</w:t>
            </w:r>
            <w:proofErr w:type="spellEnd"/>
            <w:r w:rsidRPr="00D0786A">
              <w:rPr>
                <w:sz w:val="28"/>
              </w:rPr>
              <w:t xml:space="preserve"> ned over hovedet på os, må vi være opmærksomme på, hvad det betyder: afhugning af hænder og fødder og steninger og alle de ting. Der må vi være opmærksomme på, at det ikke passer ind i vores kultur… </w:t>
            </w:r>
          </w:p>
          <w:p w14:paraId="1746CAE4" w14:textId="77777777" w:rsidR="00D0786A" w:rsidRPr="00D0786A" w:rsidRDefault="00D0786A" w:rsidP="00D0786A">
            <w:pPr>
              <w:spacing w:after="160" w:line="259" w:lineRule="auto"/>
              <w:rPr>
                <w:sz w:val="28"/>
              </w:rPr>
            </w:pPr>
            <w:r w:rsidRPr="00D0786A">
              <w:rPr>
                <w:sz w:val="28"/>
              </w:rPr>
              <w:t>Det er simpelthen farligt, hvis du har en bog, som du ikke har lov til at ændre ved. Altså, kristne, det gamle og det nye testamente, det er folk, der er inspireret af deres gud til at skrive forskellige ting, og derfor kan det også ændres, når tiderne ændres. Men hvis du har en bog, der er givet fra Allah til Gabriel til Muhammed så har du noget, der ikke kan ændres ved. Der er endda dødsstraf for at ændre nogle af de ting. Det er en hård ting, vi er oppe imod,« siger han og kommer til sidst ind på det, han kalder flokgiften. Flokgiften handler om, at alle render i den samme retning på grund af manglende viden, forklarer han, og overraskende nok implicerer det også præsident Obama.”</w:t>
            </w:r>
          </w:p>
        </w:tc>
      </w:tr>
    </w:tbl>
    <w:p w14:paraId="336FF7FA" w14:textId="77777777" w:rsidR="00D0786A" w:rsidRPr="00D0786A" w:rsidRDefault="00D0786A" w:rsidP="00D0786A">
      <w:pPr>
        <w:rPr>
          <w:sz w:val="28"/>
        </w:rPr>
      </w:pPr>
    </w:p>
    <w:p w14:paraId="69890E94" w14:textId="1DACBDFE" w:rsidR="00574BA5" w:rsidRDefault="00574BA5" w:rsidP="00574BA5">
      <w:pPr>
        <w:rPr>
          <w:sz w:val="28"/>
        </w:rPr>
      </w:pPr>
    </w:p>
    <w:p w14:paraId="070185A1" w14:textId="6070287C" w:rsidR="003538F1" w:rsidRDefault="003538F1" w:rsidP="00574BA5">
      <w:pPr>
        <w:rPr>
          <w:sz w:val="28"/>
        </w:rPr>
      </w:pPr>
    </w:p>
    <w:p w14:paraId="49CE0353" w14:textId="77777777" w:rsidR="003538F1" w:rsidRPr="00574BA5" w:rsidRDefault="003538F1" w:rsidP="00574BA5">
      <w:pPr>
        <w:rPr>
          <w:sz w:val="28"/>
        </w:rPr>
      </w:pPr>
    </w:p>
    <w:tbl>
      <w:tblPr>
        <w:tblStyle w:val="Tabel-Gitter"/>
        <w:tblW w:w="0" w:type="auto"/>
        <w:tblLook w:val="04A0" w:firstRow="1" w:lastRow="0" w:firstColumn="1" w:lastColumn="0" w:noHBand="0" w:noVBand="1"/>
      </w:tblPr>
      <w:tblGrid>
        <w:gridCol w:w="9628"/>
      </w:tblGrid>
      <w:tr w:rsidR="00574BA5" w:rsidRPr="00574BA5" w14:paraId="1108A211" w14:textId="77777777" w:rsidTr="00063FC7">
        <w:tc>
          <w:tcPr>
            <w:tcW w:w="9628" w:type="dxa"/>
          </w:tcPr>
          <w:p w14:paraId="4A013F06" w14:textId="77777777" w:rsidR="00574BA5" w:rsidRPr="00574BA5" w:rsidRDefault="00574BA5" w:rsidP="003538F1">
            <w:pPr>
              <w:pStyle w:val="Overskrift2"/>
              <w:outlineLvl w:val="1"/>
            </w:pPr>
            <w:bookmarkStart w:id="1" w:name="Nirvana"/>
            <w:r w:rsidRPr="00574BA5">
              <w:t>Nirvana beskrevet af dansk religionshistoriker</w:t>
            </w:r>
          </w:p>
          <w:bookmarkEnd w:id="1"/>
          <w:p w14:paraId="2CDB9B4D" w14:textId="5BFDA2B4" w:rsidR="00574BA5" w:rsidRPr="00574BA5" w:rsidRDefault="00574BA5" w:rsidP="00574BA5">
            <w:pPr>
              <w:spacing w:after="160" w:line="259" w:lineRule="auto"/>
              <w:rPr>
                <w:sz w:val="28"/>
              </w:rPr>
            </w:pPr>
            <w:r w:rsidRPr="00574BA5">
              <w:rPr>
                <w:sz w:val="28"/>
              </w:rPr>
              <w:t>Wilhelm Grønbech</w:t>
            </w:r>
            <w:r w:rsidR="00131629">
              <w:rPr>
                <w:sz w:val="28"/>
              </w:rPr>
              <w:t xml:space="preserve"> (1873-1948)</w:t>
            </w:r>
            <w:r w:rsidRPr="00574BA5">
              <w:rPr>
                <w:sz w:val="28"/>
              </w:rPr>
              <w:t xml:space="preserve"> står som en af de største danske religionshistorikere og en af grundlæggerne af religionsvidenskaben i Danmark. </w:t>
            </w:r>
            <w:r w:rsidR="00ED793F">
              <w:rPr>
                <w:sz w:val="28"/>
              </w:rPr>
              <w:t xml:space="preserve">Grønbech var ikke specialist i Buddhisme, og i sit udstrakte forfatterskab skrev han om religioner indenfor mange forskellige kulturer og historiske perioder. </w:t>
            </w:r>
            <w:r w:rsidRPr="00574BA5">
              <w:rPr>
                <w:sz w:val="28"/>
              </w:rPr>
              <w:t>Her giver han sit bud på en både positiv og kritisk beskrivelse af Nirvana:</w:t>
            </w:r>
          </w:p>
          <w:p w14:paraId="674C0235" w14:textId="77777777" w:rsidR="003538F1" w:rsidRDefault="00574BA5" w:rsidP="00574BA5">
            <w:pPr>
              <w:spacing w:after="160" w:line="259" w:lineRule="auto"/>
              <w:rPr>
                <w:sz w:val="28"/>
              </w:rPr>
            </w:pPr>
            <w:r w:rsidRPr="00574BA5">
              <w:rPr>
                <w:sz w:val="28"/>
              </w:rPr>
              <w:t xml:space="preserve">”Nirvana er en lise så dyb at intet kan fødes op ad den: Intet jeg. Intet mit…. Nirvana er en spejlblank stilhed, som ikke brydes ved noget glædens stik i brystet. Den der har følt sig selv blive til stilhed, han ved at livets spil ikke er mere” </w:t>
            </w:r>
          </w:p>
          <w:p w14:paraId="7FE1B5CE" w14:textId="43375E38" w:rsidR="00574BA5" w:rsidRPr="00574BA5" w:rsidRDefault="003538F1" w:rsidP="00574BA5">
            <w:pPr>
              <w:spacing w:after="160" w:line="259" w:lineRule="auto"/>
              <w:rPr>
                <w:sz w:val="28"/>
              </w:rPr>
            </w:pPr>
            <w:r w:rsidRPr="003538F1">
              <w:rPr>
                <w:b/>
                <w:bCs/>
                <w:sz w:val="24"/>
                <w:szCs w:val="24"/>
              </w:rPr>
              <w:t xml:space="preserve">Kilde: </w:t>
            </w:r>
            <w:r w:rsidR="00574BA5" w:rsidRPr="003538F1">
              <w:rPr>
                <w:sz w:val="24"/>
                <w:szCs w:val="24"/>
              </w:rPr>
              <w:t xml:space="preserve">Grønbech: </w:t>
            </w:r>
            <w:r w:rsidR="00574BA5" w:rsidRPr="003538F1">
              <w:rPr>
                <w:i/>
                <w:iCs/>
                <w:sz w:val="24"/>
                <w:szCs w:val="24"/>
              </w:rPr>
              <w:t>Buddha</w:t>
            </w:r>
            <w:r w:rsidR="00574BA5" w:rsidRPr="003538F1">
              <w:rPr>
                <w:sz w:val="24"/>
                <w:szCs w:val="24"/>
              </w:rPr>
              <w:t>. Thanning og Appel. KBH 1952/1973. s. 80.</w:t>
            </w:r>
          </w:p>
        </w:tc>
      </w:tr>
    </w:tbl>
    <w:p w14:paraId="133E0DF7" w14:textId="77777777" w:rsidR="00574BA5" w:rsidRPr="00574BA5" w:rsidRDefault="00574BA5" w:rsidP="00574BA5">
      <w:pPr>
        <w:rPr>
          <w:sz w:val="28"/>
        </w:rPr>
      </w:pPr>
    </w:p>
    <w:p w14:paraId="60808545" w14:textId="77777777" w:rsidR="003A7E39" w:rsidRDefault="003A7E39">
      <w:pPr>
        <w:rPr>
          <w:sz w:val="28"/>
        </w:rPr>
      </w:pPr>
      <w:r>
        <w:rPr>
          <w:sz w:val="28"/>
        </w:rPr>
        <w:br w:type="page"/>
      </w:r>
    </w:p>
    <w:p w14:paraId="13200AFB" w14:textId="255AD91A" w:rsidR="003538F1" w:rsidRDefault="00AC7D25" w:rsidP="003538F1">
      <w:pPr>
        <w:pStyle w:val="Overskrift2"/>
        <w:rPr>
          <w:sz w:val="28"/>
        </w:rPr>
      </w:pPr>
      <w:bookmarkStart w:id="2" w:name="Buddhistisk_klippeinskription"/>
      <w:r w:rsidRPr="003A7E39">
        <w:rPr>
          <w:rStyle w:val="Overskrift2Tegn"/>
          <w:b/>
          <w:bCs/>
        </w:rPr>
        <w:lastRenderedPageBreak/>
        <w:t xml:space="preserve">Buddhistisk klippeinskription fra Nordindien på initiativ af kong </w:t>
      </w:r>
      <w:proofErr w:type="spellStart"/>
      <w:r w:rsidRPr="003A7E39">
        <w:rPr>
          <w:rStyle w:val="Overskrift2Tegn"/>
          <w:b/>
          <w:bCs/>
        </w:rPr>
        <w:t>As</w:t>
      </w:r>
      <w:r w:rsidR="0006521D">
        <w:rPr>
          <w:rStyle w:val="Overskrift2Tegn"/>
          <w:b/>
          <w:bCs/>
        </w:rPr>
        <w:t>h</w:t>
      </w:r>
      <w:r w:rsidRPr="003A7E39">
        <w:rPr>
          <w:rStyle w:val="Overskrift2Tegn"/>
          <w:b/>
          <w:bCs/>
        </w:rPr>
        <w:t>oka</w:t>
      </w:r>
      <w:proofErr w:type="spellEnd"/>
      <w:r w:rsidRPr="003A7E39">
        <w:rPr>
          <w:rStyle w:val="Overskrift2Tegn"/>
          <w:b/>
          <w:bCs/>
        </w:rPr>
        <w:t>:</w:t>
      </w:r>
      <w:r w:rsidRPr="00AC7D25">
        <w:rPr>
          <w:sz w:val="28"/>
        </w:rPr>
        <w:t xml:space="preserve"> </w:t>
      </w:r>
    </w:p>
    <w:bookmarkEnd w:id="2"/>
    <w:p w14:paraId="64D55E2A" w14:textId="1DF20733" w:rsidR="0006521D" w:rsidRPr="000C1E2B" w:rsidRDefault="0006521D" w:rsidP="0006521D">
      <w:pPr>
        <w:rPr>
          <w:sz w:val="28"/>
          <w:szCs w:val="28"/>
        </w:rPr>
      </w:pPr>
      <w:r w:rsidRPr="0006521D">
        <w:rPr>
          <w:sz w:val="28"/>
          <w:szCs w:val="28"/>
        </w:rPr>
        <w:t xml:space="preserve">Kong </w:t>
      </w:r>
      <w:proofErr w:type="spellStart"/>
      <w:r w:rsidRPr="0006521D">
        <w:rPr>
          <w:sz w:val="28"/>
          <w:szCs w:val="28"/>
        </w:rPr>
        <w:t>Ashoka</w:t>
      </w:r>
      <w:proofErr w:type="spellEnd"/>
      <w:r w:rsidRPr="0006521D">
        <w:rPr>
          <w:sz w:val="28"/>
          <w:szCs w:val="28"/>
        </w:rPr>
        <w:t xml:space="preserve"> var en hersker </w:t>
      </w:r>
      <w:r w:rsidR="000C1E2B">
        <w:rPr>
          <w:sz w:val="28"/>
          <w:szCs w:val="28"/>
        </w:rPr>
        <w:t>over</w:t>
      </w:r>
      <w:r w:rsidRPr="0006521D">
        <w:rPr>
          <w:sz w:val="28"/>
          <w:szCs w:val="28"/>
        </w:rPr>
        <w:t xml:space="preserve"> Nordindiens </w:t>
      </w:r>
      <w:proofErr w:type="spellStart"/>
      <w:r w:rsidR="000C1E2B">
        <w:rPr>
          <w:sz w:val="28"/>
          <w:szCs w:val="28"/>
        </w:rPr>
        <w:t>udtrakte</w:t>
      </w:r>
      <w:proofErr w:type="spellEnd"/>
      <w:r w:rsidR="000C1E2B">
        <w:rPr>
          <w:sz w:val="28"/>
          <w:szCs w:val="28"/>
        </w:rPr>
        <w:t xml:space="preserve"> </w:t>
      </w:r>
      <w:proofErr w:type="spellStart"/>
      <w:r w:rsidRPr="0006521D">
        <w:rPr>
          <w:sz w:val="28"/>
          <w:szCs w:val="28"/>
        </w:rPr>
        <w:t>Maurya</w:t>
      </w:r>
      <w:proofErr w:type="spellEnd"/>
      <w:r w:rsidRPr="0006521D">
        <w:rPr>
          <w:sz w:val="28"/>
          <w:szCs w:val="28"/>
        </w:rPr>
        <w:t>-rige i 200tallet f.v.t. Kilder fra perioden</w:t>
      </w:r>
      <w:r>
        <w:rPr>
          <w:sz w:val="28"/>
          <w:szCs w:val="28"/>
        </w:rPr>
        <w:t>,</w:t>
      </w:r>
      <w:r w:rsidRPr="0006521D">
        <w:rPr>
          <w:sz w:val="28"/>
          <w:szCs w:val="28"/>
        </w:rPr>
        <w:t xml:space="preserve"> særlig af arkæologisk art</w:t>
      </w:r>
      <w:r>
        <w:rPr>
          <w:sz w:val="28"/>
          <w:szCs w:val="28"/>
        </w:rPr>
        <w:t xml:space="preserve">, afslører kong </w:t>
      </w:r>
      <w:proofErr w:type="spellStart"/>
      <w:r>
        <w:rPr>
          <w:sz w:val="28"/>
          <w:szCs w:val="28"/>
        </w:rPr>
        <w:t>Ashoka</w:t>
      </w:r>
      <w:proofErr w:type="spellEnd"/>
      <w:r>
        <w:rPr>
          <w:sz w:val="28"/>
          <w:szCs w:val="28"/>
        </w:rPr>
        <w:t xml:space="preserve"> som en af buddhismens tidligste og største støtter</w:t>
      </w:r>
      <w:r w:rsidR="000C1E2B">
        <w:rPr>
          <w:sz w:val="28"/>
          <w:szCs w:val="28"/>
        </w:rPr>
        <w:t xml:space="preserve">. </w:t>
      </w:r>
      <w:proofErr w:type="spellStart"/>
      <w:r w:rsidR="000C1E2B">
        <w:rPr>
          <w:sz w:val="28"/>
          <w:szCs w:val="28"/>
        </w:rPr>
        <w:t>Ashokas</w:t>
      </w:r>
      <w:proofErr w:type="spellEnd"/>
      <w:r w:rsidR="00BB64FD">
        <w:rPr>
          <w:sz w:val="28"/>
          <w:szCs w:val="28"/>
        </w:rPr>
        <w:t xml:space="preserve"> indflydelse betød</w:t>
      </w:r>
      <w:r w:rsidR="000C1E2B">
        <w:rPr>
          <w:sz w:val="28"/>
          <w:szCs w:val="28"/>
        </w:rPr>
        <w:t>,</w:t>
      </w:r>
      <w:r w:rsidR="00BB64FD">
        <w:rPr>
          <w:sz w:val="28"/>
          <w:szCs w:val="28"/>
        </w:rPr>
        <w:t xml:space="preserve"> at Buddhas tanker fik langt større udbredelse end tidligere</w:t>
      </w:r>
      <w:r w:rsidRPr="0006521D">
        <w:rPr>
          <w:sz w:val="28"/>
          <w:szCs w:val="28"/>
        </w:rPr>
        <w:t xml:space="preserve">. For nærmere præsentation af </w:t>
      </w:r>
      <w:proofErr w:type="spellStart"/>
      <w:r w:rsidRPr="0006521D">
        <w:rPr>
          <w:sz w:val="28"/>
          <w:szCs w:val="28"/>
        </w:rPr>
        <w:t>As</w:t>
      </w:r>
      <w:r w:rsidR="00170769">
        <w:rPr>
          <w:sz w:val="28"/>
          <w:szCs w:val="28"/>
        </w:rPr>
        <w:t>h</w:t>
      </w:r>
      <w:r w:rsidRPr="0006521D">
        <w:rPr>
          <w:sz w:val="28"/>
          <w:szCs w:val="28"/>
        </w:rPr>
        <w:t>oka</w:t>
      </w:r>
      <w:proofErr w:type="spellEnd"/>
      <w:r w:rsidR="00BB64FD">
        <w:rPr>
          <w:sz w:val="28"/>
          <w:szCs w:val="28"/>
        </w:rPr>
        <w:t xml:space="preserve"> se </w:t>
      </w:r>
      <w:r w:rsidR="00BB64FD">
        <w:rPr>
          <w:i/>
          <w:iCs/>
          <w:sz w:val="28"/>
          <w:szCs w:val="28"/>
        </w:rPr>
        <w:t>Relig</w:t>
      </w:r>
      <w:r w:rsidR="000C1E2B">
        <w:rPr>
          <w:i/>
          <w:iCs/>
          <w:sz w:val="28"/>
          <w:szCs w:val="28"/>
        </w:rPr>
        <w:t>ion</w:t>
      </w:r>
      <w:r w:rsidR="00BB64FD">
        <w:rPr>
          <w:i/>
          <w:iCs/>
          <w:sz w:val="28"/>
          <w:szCs w:val="28"/>
        </w:rPr>
        <w:t>er lever</w:t>
      </w:r>
      <w:r w:rsidR="000C1E2B">
        <w:rPr>
          <w:sz w:val="28"/>
          <w:szCs w:val="28"/>
        </w:rPr>
        <w:t xml:space="preserve"> s. 170ff.</w:t>
      </w:r>
    </w:p>
    <w:p w14:paraId="1E8B5136" w14:textId="77777777" w:rsidR="003538F1" w:rsidRDefault="00AC7D25" w:rsidP="00AC7D25">
      <w:pPr>
        <w:rPr>
          <w:sz w:val="28"/>
        </w:rPr>
      </w:pPr>
      <w:r w:rsidRPr="00AC7D25">
        <w:rPr>
          <w:sz w:val="28"/>
        </w:rPr>
        <w:t xml:space="preserve">”(A) Da kong </w:t>
      </w:r>
      <w:proofErr w:type="spellStart"/>
      <w:r w:rsidRPr="00AC7D25">
        <w:rPr>
          <w:sz w:val="28"/>
        </w:rPr>
        <w:t>Ashoka</w:t>
      </w:r>
      <w:proofErr w:type="spellEnd"/>
      <w:r w:rsidRPr="00AC7D25">
        <w:rPr>
          <w:sz w:val="28"/>
        </w:rPr>
        <w:t xml:space="preserve"> havde været konge I 8 år, blev riget </w:t>
      </w:r>
      <w:proofErr w:type="spellStart"/>
      <w:r w:rsidRPr="00AC7D25">
        <w:rPr>
          <w:sz w:val="28"/>
        </w:rPr>
        <w:t>Kalinga</w:t>
      </w:r>
      <w:proofErr w:type="spellEnd"/>
      <w:r w:rsidRPr="00AC7D25">
        <w:rPr>
          <w:sz w:val="28"/>
        </w:rPr>
        <w:t xml:space="preserve"> erobret af ham… [så] helligede </w:t>
      </w:r>
      <w:proofErr w:type="spellStart"/>
      <w:r w:rsidRPr="00AC7D25">
        <w:rPr>
          <w:sz w:val="28"/>
        </w:rPr>
        <w:t>Ashoka</w:t>
      </w:r>
      <w:proofErr w:type="spellEnd"/>
      <w:r w:rsidRPr="00AC7D25">
        <w:rPr>
          <w:sz w:val="28"/>
        </w:rPr>
        <w:t xml:space="preserve"> sig studiet af visdom [’</w:t>
      </w:r>
      <w:proofErr w:type="spellStart"/>
      <w:r w:rsidRPr="00AC7D25">
        <w:rPr>
          <w:sz w:val="28"/>
        </w:rPr>
        <w:t>dhamma</w:t>
      </w:r>
      <w:proofErr w:type="spellEnd"/>
      <w:r w:rsidRPr="00AC7D25">
        <w:rPr>
          <w:sz w:val="28"/>
        </w:rPr>
        <w:t xml:space="preserve">’], kærligheden til visdom og undervisningen af folket i visdom… (D) dette er fortrydelsen hos </w:t>
      </w:r>
      <w:proofErr w:type="spellStart"/>
      <w:r w:rsidRPr="00AC7D25">
        <w:rPr>
          <w:sz w:val="28"/>
        </w:rPr>
        <w:t>Ashoka</w:t>
      </w:r>
      <w:proofErr w:type="spellEnd"/>
      <w:r w:rsidRPr="00AC7D25">
        <w:rPr>
          <w:sz w:val="28"/>
        </w:rPr>
        <w:t xml:space="preserve">... For det anses nu for meget lidelsesfuldt af </w:t>
      </w:r>
      <w:proofErr w:type="spellStart"/>
      <w:r w:rsidRPr="00AC7D25">
        <w:rPr>
          <w:sz w:val="28"/>
        </w:rPr>
        <w:t>Ashoka</w:t>
      </w:r>
      <w:proofErr w:type="spellEnd"/>
      <w:r w:rsidRPr="00AC7D25">
        <w:rPr>
          <w:sz w:val="28"/>
        </w:rPr>
        <w:t xml:space="preserve"> at man, når man erobrer et område, nedslagter, dræber og deporterer folk… (L) selv de som handler ilde mod ham, skal tilgives, for det som kan tilgives skal tilgives… (o) </w:t>
      </w:r>
      <w:proofErr w:type="spellStart"/>
      <w:r w:rsidRPr="00AC7D25">
        <w:rPr>
          <w:sz w:val="28"/>
        </w:rPr>
        <w:t>Ashoka</w:t>
      </w:r>
      <w:proofErr w:type="spellEnd"/>
      <w:r w:rsidRPr="00AC7D25">
        <w:rPr>
          <w:sz w:val="28"/>
        </w:rPr>
        <w:t xml:space="preserve"> tilstræber, at alle væsner afstår fra at skade andre, udøver selvkontrol, og er uvildige i at deltage i voldelige handlinger. (P) For den erobring som er størst, ifølge </w:t>
      </w:r>
      <w:proofErr w:type="spellStart"/>
      <w:r w:rsidRPr="00AC7D25">
        <w:rPr>
          <w:sz w:val="28"/>
        </w:rPr>
        <w:t>Asohka</w:t>
      </w:r>
      <w:proofErr w:type="spellEnd"/>
      <w:r w:rsidRPr="00AC7D25">
        <w:rPr>
          <w:sz w:val="28"/>
        </w:rPr>
        <w:t xml:space="preserve">, er visdommens moralske erobring. Alle steder bøjer folk sig nu for </w:t>
      </w:r>
      <w:proofErr w:type="spellStart"/>
      <w:r w:rsidRPr="00AC7D25">
        <w:rPr>
          <w:sz w:val="28"/>
        </w:rPr>
        <w:t>Ashokas</w:t>
      </w:r>
      <w:proofErr w:type="spellEnd"/>
      <w:r w:rsidRPr="00AC7D25">
        <w:rPr>
          <w:sz w:val="28"/>
        </w:rPr>
        <w:t xml:space="preserve"> instruktioner om visdom. (W) </w:t>
      </w:r>
      <w:proofErr w:type="spellStart"/>
      <w:r w:rsidRPr="00AC7D25">
        <w:rPr>
          <w:sz w:val="28"/>
        </w:rPr>
        <w:t>Ashoka</w:t>
      </w:r>
      <w:proofErr w:type="spellEnd"/>
      <w:r w:rsidRPr="00AC7D25">
        <w:rPr>
          <w:sz w:val="28"/>
        </w:rPr>
        <w:t xml:space="preserve"> mener, at kun frugter høstet i det hinsidige er af betydelig værdi…”. </w:t>
      </w:r>
    </w:p>
    <w:p w14:paraId="4EAA8184" w14:textId="7408C139" w:rsidR="003538F1" w:rsidRPr="003538F1" w:rsidRDefault="003538F1" w:rsidP="00AC7D25">
      <w:pPr>
        <w:rPr>
          <w:sz w:val="24"/>
          <w:szCs w:val="24"/>
          <w:lang w:val="en-US"/>
        </w:rPr>
      </w:pPr>
      <w:proofErr w:type="spellStart"/>
      <w:r w:rsidRPr="003538F1">
        <w:rPr>
          <w:b/>
          <w:bCs/>
          <w:sz w:val="24"/>
          <w:szCs w:val="24"/>
          <w:lang w:val="en-US"/>
        </w:rPr>
        <w:t>Kilde</w:t>
      </w:r>
      <w:proofErr w:type="spellEnd"/>
      <w:r w:rsidRPr="003538F1">
        <w:rPr>
          <w:b/>
          <w:bCs/>
          <w:sz w:val="24"/>
          <w:szCs w:val="24"/>
          <w:lang w:val="en-US"/>
        </w:rPr>
        <w:t xml:space="preserve">: </w:t>
      </w:r>
      <w:proofErr w:type="spellStart"/>
      <w:r w:rsidR="00AC7D25" w:rsidRPr="003538F1">
        <w:rPr>
          <w:sz w:val="24"/>
          <w:szCs w:val="24"/>
          <w:lang w:val="en-US"/>
        </w:rPr>
        <w:t>Oversat</w:t>
      </w:r>
      <w:proofErr w:type="spellEnd"/>
      <w:r w:rsidR="00AC7D25" w:rsidRPr="003538F1">
        <w:rPr>
          <w:sz w:val="24"/>
          <w:szCs w:val="24"/>
          <w:lang w:val="en-US"/>
        </w:rPr>
        <w:t xml:space="preserve"> </w:t>
      </w:r>
      <w:proofErr w:type="spellStart"/>
      <w:r w:rsidR="00AC7D25" w:rsidRPr="003538F1">
        <w:rPr>
          <w:sz w:val="24"/>
          <w:szCs w:val="24"/>
          <w:lang w:val="en-US"/>
        </w:rPr>
        <w:t>og</w:t>
      </w:r>
      <w:proofErr w:type="spellEnd"/>
      <w:r w:rsidR="00AC7D25" w:rsidRPr="003538F1">
        <w:rPr>
          <w:sz w:val="24"/>
          <w:szCs w:val="24"/>
          <w:lang w:val="en-US"/>
        </w:rPr>
        <w:t xml:space="preserve"> </w:t>
      </w:r>
      <w:proofErr w:type="spellStart"/>
      <w:r w:rsidR="00AC7D25" w:rsidRPr="003538F1">
        <w:rPr>
          <w:sz w:val="24"/>
          <w:szCs w:val="24"/>
          <w:lang w:val="en-US"/>
        </w:rPr>
        <w:t>bearbejdet</w:t>
      </w:r>
      <w:proofErr w:type="spellEnd"/>
      <w:r w:rsidR="00AC7D25" w:rsidRPr="003538F1">
        <w:rPr>
          <w:sz w:val="24"/>
          <w:szCs w:val="24"/>
          <w:lang w:val="en-US"/>
        </w:rPr>
        <w:t xml:space="preserve"> </w:t>
      </w:r>
      <w:proofErr w:type="spellStart"/>
      <w:r w:rsidR="00AC7D25" w:rsidRPr="003538F1">
        <w:rPr>
          <w:sz w:val="24"/>
          <w:szCs w:val="24"/>
          <w:lang w:val="en-US"/>
        </w:rPr>
        <w:t>af</w:t>
      </w:r>
      <w:proofErr w:type="spellEnd"/>
      <w:r w:rsidR="00AC7D25" w:rsidRPr="003538F1">
        <w:rPr>
          <w:sz w:val="24"/>
          <w:szCs w:val="24"/>
          <w:lang w:val="en-US"/>
        </w:rPr>
        <w:t xml:space="preserve"> Thomas P. Larsen </w:t>
      </w:r>
      <w:proofErr w:type="spellStart"/>
      <w:r w:rsidR="00AC7D25" w:rsidRPr="003538F1">
        <w:rPr>
          <w:sz w:val="24"/>
          <w:szCs w:val="24"/>
          <w:lang w:val="en-US"/>
        </w:rPr>
        <w:t>fra</w:t>
      </w:r>
      <w:proofErr w:type="spellEnd"/>
      <w:r w:rsidR="00AC7D25" w:rsidRPr="003538F1">
        <w:rPr>
          <w:sz w:val="24"/>
          <w:szCs w:val="24"/>
          <w:lang w:val="en-US"/>
        </w:rPr>
        <w:t xml:space="preserve"> E. </w:t>
      </w:r>
      <w:proofErr w:type="spellStart"/>
      <w:r w:rsidR="00AC7D25" w:rsidRPr="003538F1">
        <w:rPr>
          <w:sz w:val="24"/>
          <w:szCs w:val="24"/>
          <w:lang w:val="en-US"/>
        </w:rPr>
        <w:t>Hultzsch</w:t>
      </w:r>
      <w:proofErr w:type="spellEnd"/>
      <w:r w:rsidR="00AC7D25" w:rsidRPr="003538F1">
        <w:rPr>
          <w:sz w:val="24"/>
          <w:szCs w:val="24"/>
          <w:lang w:val="en-US"/>
        </w:rPr>
        <w:t xml:space="preserve">, Inscriptions of Ashoka, Edict XIII ‘The Great Rock Inscriptions’ </w:t>
      </w:r>
      <w:proofErr w:type="spellStart"/>
      <w:r w:rsidR="00AC7D25" w:rsidRPr="003538F1">
        <w:rPr>
          <w:sz w:val="24"/>
          <w:szCs w:val="24"/>
          <w:lang w:val="en-US"/>
        </w:rPr>
        <w:t>i</w:t>
      </w:r>
      <w:proofErr w:type="spellEnd"/>
      <w:r w:rsidR="00AC7D25" w:rsidRPr="003538F1">
        <w:rPr>
          <w:sz w:val="24"/>
          <w:szCs w:val="24"/>
          <w:lang w:val="en-US"/>
        </w:rPr>
        <w:t xml:space="preserve"> </w:t>
      </w:r>
      <w:proofErr w:type="spellStart"/>
      <w:r w:rsidR="00AC7D25" w:rsidRPr="003538F1">
        <w:rPr>
          <w:i/>
          <w:iCs/>
          <w:sz w:val="24"/>
          <w:szCs w:val="24"/>
          <w:lang w:val="en-US"/>
        </w:rPr>
        <w:t>Inscriptionum</w:t>
      </w:r>
      <w:proofErr w:type="spellEnd"/>
      <w:r w:rsidR="00AC7D25" w:rsidRPr="003538F1">
        <w:rPr>
          <w:i/>
          <w:iCs/>
          <w:sz w:val="24"/>
          <w:szCs w:val="24"/>
          <w:lang w:val="en-US"/>
        </w:rPr>
        <w:t xml:space="preserve"> </w:t>
      </w:r>
      <w:proofErr w:type="spellStart"/>
      <w:r w:rsidR="00AC7D25" w:rsidRPr="003538F1">
        <w:rPr>
          <w:i/>
          <w:iCs/>
          <w:sz w:val="24"/>
          <w:szCs w:val="24"/>
          <w:lang w:val="en-US"/>
        </w:rPr>
        <w:t>Indicarum</w:t>
      </w:r>
      <w:proofErr w:type="spellEnd"/>
      <w:r w:rsidR="00AC7D25" w:rsidRPr="003538F1">
        <w:rPr>
          <w:sz w:val="24"/>
          <w:szCs w:val="24"/>
          <w:lang w:val="en-US"/>
        </w:rPr>
        <w:t>, vol. I, Oxford 1925, s 68.</w:t>
      </w:r>
    </w:p>
    <w:p w14:paraId="7BE9F766" w14:textId="77777777" w:rsidR="003538F1" w:rsidRDefault="003538F1">
      <w:pPr>
        <w:rPr>
          <w:i/>
          <w:iCs/>
          <w:sz w:val="28"/>
          <w:lang w:val="en-US"/>
        </w:rPr>
      </w:pPr>
      <w:r>
        <w:rPr>
          <w:i/>
          <w:iCs/>
          <w:sz w:val="28"/>
          <w:lang w:val="en-US"/>
        </w:rPr>
        <w:br w:type="page"/>
      </w:r>
    </w:p>
    <w:tbl>
      <w:tblPr>
        <w:tblStyle w:val="Tabel-Gitter"/>
        <w:tblW w:w="0" w:type="auto"/>
        <w:tblLook w:val="04A0" w:firstRow="1" w:lastRow="0" w:firstColumn="1" w:lastColumn="0" w:noHBand="0" w:noVBand="1"/>
      </w:tblPr>
      <w:tblGrid>
        <w:gridCol w:w="9628"/>
      </w:tblGrid>
      <w:tr w:rsidR="00D0415F" w:rsidRPr="00D0415F" w14:paraId="15BDA53D" w14:textId="77777777" w:rsidTr="00063FC7">
        <w:tc>
          <w:tcPr>
            <w:tcW w:w="9628" w:type="dxa"/>
          </w:tcPr>
          <w:p w14:paraId="78B63379" w14:textId="45BF7BD3" w:rsidR="00D0415F" w:rsidRDefault="00D0415F" w:rsidP="003538F1">
            <w:pPr>
              <w:pStyle w:val="Overskrift2"/>
              <w:outlineLvl w:val="1"/>
            </w:pPr>
            <w:bookmarkStart w:id="3" w:name="Buddha_om_middelvejen"/>
            <w:r w:rsidRPr="00D0415F">
              <w:lastRenderedPageBreak/>
              <w:t>Buddha om middelvejen og Nirvana</w:t>
            </w:r>
          </w:p>
          <w:bookmarkEnd w:id="3"/>
          <w:p w14:paraId="5DFE3580" w14:textId="3CFBEDA5" w:rsidR="00AB4DC5" w:rsidRPr="00AB4DC5" w:rsidRDefault="00AB4DC5" w:rsidP="00AB4DC5">
            <w:pPr>
              <w:rPr>
                <w:sz w:val="28"/>
                <w:szCs w:val="28"/>
              </w:rPr>
            </w:pPr>
            <w:r w:rsidRPr="00AB4DC5">
              <w:rPr>
                <w:sz w:val="28"/>
                <w:szCs w:val="28"/>
              </w:rPr>
              <w:t xml:space="preserve">I </w:t>
            </w:r>
            <w:r>
              <w:rPr>
                <w:sz w:val="28"/>
                <w:szCs w:val="28"/>
              </w:rPr>
              <w:t xml:space="preserve">de to kanoniske </w:t>
            </w:r>
            <w:r w:rsidRPr="00AB4DC5">
              <w:rPr>
                <w:sz w:val="28"/>
                <w:szCs w:val="28"/>
              </w:rPr>
              <w:t xml:space="preserve">uddrag </w:t>
            </w:r>
            <w:r>
              <w:rPr>
                <w:sz w:val="28"/>
                <w:szCs w:val="28"/>
              </w:rPr>
              <w:t>herunder belærer</w:t>
            </w:r>
            <w:r w:rsidRPr="00AB4DC5">
              <w:rPr>
                <w:sz w:val="28"/>
                <w:szCs w:val="28"/>
              </w:rPr>
              <w:t xml:space="preserve"> Buddha </w:t>
            </w:r>
            <w:r>
              <w:rPr>
                <w:sz w:val="28"/>
                <w:szCs w:val="28"/>
              </w:rPr>
              <w:t xml:space="preserve">selv </w:t>
            </w:r>
            <w:r w:rsidRPr="00AB4DC5">
              <w:rPr>
                <w:sz w:val="28"/>
                <w:szCs w:val="28"/>
              </w:rPr>
              <w:t>si</w:t>
            </w:r>
            <w:r>
              <w:rPr>
                <w:sz w:val="28"/>
                <w:szCs w:val="28"/>
              </w:rPr>
              <w:t>ne disciple om hovedantagelserne i buddhismen: Går man på den otteledede vej, undgår man yderligheder. Man bevæger sig af ’Middelvejen’. Siden redegør han for det enkelte individs eskatologiske endemål, hvor menneskets bevidsthed er blevet oplyst for så at blive slukket; Nirvana.</w:t>
            </w:r>
          </w:p>
          <w:p w14:paraId="5FC90995" w14:textId="77777777" w:rsidR="003538F1" w:rsidRDefault="00D0415F" w:rsidP="00D0415F">
            <w:pPr>
              <w:spacing w:after="160" w:line="259" w:lineRule="auto"/>
              <w:rPr>
                <w:sz w:val="28"/>
              </w:rPr>
            </w:pPr>
            <w:r w:rsidRPr="00D0415F">
              <w:rPr>
                <w:sz w:val="28"/>
              </w:rPr>
              <w:t xml:space="preserve">”273: Den bedste af alle veje er den otteledede vej… 274: Det er vejen; der er ingen anden til at klargøre anskuelsen; følg den! Det er at skuffe Mara. 275: Når I går ud på denne vej, så gør I ende på lidelsen. Den vej har jeg forkyndt … 285. Bryd kærligheden til dit eget jeg, ligesom du med hånden bryder efterårets lotus; vælg vejen til fred, til Nirvana, den som Buddha har anvist.” </w:t>
            </w:r>
          </w:p>
          <w:p w14:paraId="00E19336" w14:textId="3379D739" w:rsidR="00D0415F" w:rsidRPr="003538F1" w:rsidRDefault="003538F1" w:rsidP="00D0415F">
            <w:pPr>
              <w:spacing w:after="160" w:line="259" w:lineRule="auto"/>
              <w:rPr>
                <w:sz w:val="24"/>
                <w:szCs w:val="24"/>
              </w:rPr>
            </w:pPr>
            <w:r w:rsidRPr="003538F1">
              <w:rPr>
                <w:b/>
                <w:bCs/>
                <w:sz w:val="24"/>
                <w:szCs w:val="24"/>
              </w:rPr>
              <w:t>Kilde:</w:t>
            </w:r>
            <w:r>
              <w:rPr>
                <w:b/>
                <w:bCs/>
                <w:sz w:val="24"/>
                <w:szCs w:val="24"/>
              </w:rPr>
              <w:t xml:space="preserve"> </w:t>
            </w:r>
            <w:proofErr w:type="spellStart"/>
            <w:r w:rsidR="00D0415F" w:rsidRPr="003538F1">
              <w:rPr>
                <w:sz w:val="24"/>
                <w:szCs w:val="24"/>
              </w:rPr>
              <w:t>Tripitaka</w:t>
            </w:r>
            <w:proofErr w:type="spellEnd"/>
            <w:r w:rsidR="00D0415F" w:rsidRPr="003538F1">
              <w:rPr>
                <w:sz w:val="24"/>
                <w:szCs w:val="24"/>
              </w:rPr>
              <w:t xml:space="preserve">, </w:t>
            </w:r>
            <w:proofErr w:type="spellStart"/>
            <w:r w:rsidR="00D0415F" w:rsidRPr="003538F1">
              <w:rPr>
                <w:sz w:val="24"/>
                <w:szCs w:val="24"/>
              </w:rPr>
              <w:t>Dhammapada</w:t>
            </w:r>
            <w:proofErr w:type="spellEnd"/>
            <w:r w:rsidR="00D0415F" w:rsidRPr="003538F1">
              <w:rPr>
                <w:sz w:val="24"/>
                <w:szCs w:val="24"/>
              </w:rPr>
              <w:t xml:space="preserve">, </w:t>
            </w:r>
            <w:proofErr w:type="spellStart"/>
            <w:r w:rsidR="00D0415F" w:rsidRPr="003538F1">
              <w:rPr>
                <w:sz w:val="24"/>
                <w:szCs w:val="24"/>
              </w:rPr>
              <w:t>sutra</w:t>
            </w:r>
            <w:proofErr w:type="spellEnd"/>
            <w:r w:rsidR="00D0415F" w:rsidRPr="003538F1">
              <w:rPr>
                <w:sz w:val="24"/>
                <w:szCs w:val="24"/>
              </w:rPr>
              <w:t xml:space="preserve"> 20, 273-285 bragt i Tuxen, P: </w:t>
            </w:r>
            <w:r w:rsidR="00D0415F" w:rsidRPr="003538F1">
              <w:rPr>
                <w:i/>
                <w:sz w:val="24"/>
                <w:szCs w:val="24"/>
              </w:rPr>
              <w:t>Verdensreligionernes Hovedværker.</w:t>
            </w:r>
            <w:r w:rsidR="00D0415F" w:rsidRPr="003538F1">
              <w:rPr>
                <w:sz w:val="24"/>
                <w:szCs w:val="24"/>
              </w:rPr>
              <w:t xml:space="preserve"> Gyldendal. KBH 1953. s. 59.</w:t>
            </w:r>
          </w:p>
          <w:p w14:paraId="68D9219B" w14:textId="77777777" w:rsidR="00D0415F" w:rsidRPr="00D0415F" w:rsidRDefault="00D0415F" w:rsidP="00D0415F">
            <w:pPr>
              <w:spacing w:after="160" w:line="259" w:lineRule="auto"/>
              <w:rPr>
                <w:sz w:val="28"/>
              </w:rPr>
            </w:pPr>
          </w:p>
          <w:p w14:paraId="11037E3A" w14:textId="77777777" w:rsidR="003538F1" w:rsidRDefault="00D0415F" w:rsidP="00D0415F">
            <w:pPr>
              <w:spacing w:after="160" w:line="259" w:lineRule="auto"/>
              <w:rPr>
                <w:sz w:val="28"/>
              </w:rPr>
            </w:pPr>
            <w:r w:rsidRPr="00D0415F">
              <w:rPr>
                <w:sz w:val="28"/>
              </w:rPr>
              <w:t xml:space="preserve">”80. Der er et plan, munke, hvor der hverken er jord eller vand eller ild eller vind, hvor der hverken er det uendelig rums plan eller den uendelige bevidstheds plan eller intethedens plan eller hverken-forestillinger-eller-ikke-forestillingers plan. Hvor der hverken er denne verden eller verden hinsides eller måne og sol. Munke, der er hverken kommen eller gåen eller forbliven eller </w:t>
            </w:r>
            <w:proofErr w:type="spellStart"/>
            <w:r w:rsidRPr="00D0415F">
              <w:rPr>
                <w:sz w:val="28"/>
              </w:rPr>
              <w:t>forsvinden</w:t>
            </w:r>
            <w:proofErr w:type="spellEnd"/>
            <w:r w:rsidRPr="00D0415F">
              <w:rPr>
                <w:sz w:val="28"/>
              </w:rPr>
              <w:t xml:space="preserve"> eller opståen dér, siger jeg. Det er uden støtte, det er uvirksomt, det er ikke genstand for sansning, det er netop lidelsens ophør… fordi, munke, der er noget, der ikke er født, ikke er skabt, ikke er lavet, noget der er usammensat, findes der redning fra det, der er født, skabt, lavet og sammensat” </w:t>
            </w:r>
          </w:p>
          <w:p w14:paraId="6CEB30D7" w14:textId="6A4AC475" w:rsidR="00D0415F" w:rsidRPr="003538F1" w:rsidRDefault="003538F1" w:rsidP="00D0415F">
            <w:pPr>
              <w:spacing w:after="160" w:line="259" w:lineRule="auto"/>
              <w:rPr>
                <w:sz w:val="24"/>
                <w:szCs w:val="24"/>
              </w:rPr>
            </w:pPr>
            <w:r w:rsidRPr="003538F1">
              <w:rPr>
                <w:b/>
                <w:bCs/>
                <w:sz w:val="24"/>
                <w:szCs w:val="24"/>
              </w:rPr>
              <w:t>Kilde:</w:t>
            </w:r>
            <w:r w:rsidRPr="003538F1">
              <w:rPr>
                <w:sz w:val="24"/>
                <w:szCs w:val="24"/>
              </w:rPr>
              <w:t xml:space="preserve"> </w:t>
            </w:r>
            <w:proofErr w:type="spellStart"/>
            <w:r w:rsidR="00D0415F" w:rsidRPr="003538F1">
              <w:rPr>
                <w:sz w:val="24"/>
                <w:szCs w:val="24"/>
              </w:rPr>
              <w:t>Suttapitaka</w:t>
            </w:r>
            <w:proofErr w:type="spellEnd"/>
            <w:r w:rsidR="00D0415F" w:rsidRPr="003538F1">
              <w:rPr>
                <w:sz w:val="24"/>
                <w:szCs w:val="24"/>
              </w:rPr>
              <w:t xml:space="preserve">, </w:t>
            </w:r>
            <w:proofErr w:type="spellStart"/>
            <w:r w:rsidR="00D0415F" w:rsidRPr="003538F1">
              <w:rPr>
                <w:sz w:val="24"/>
                <w:szCs w:val="24"/>
              </w:rPr>
              <w:t>Udana</w:t>
            </w:r>
            <w:proofErr w:type="spellEnd"/>
            <w:r w:rsidR="00D0415F" w:rsidRPr="003538F1">
              <w:rPr>
                <w:sz w:val="24"/>
                <w:szCs w:val="24"/>
              </w:rPr>
              <w:t xml:space="preserve"> v. 80 bragt i Møller-Kristensen: </w:t>
            </w:r>
            <w:r w:rsidR="00D0415F" w:rsidRPr="003538F1">
              <w:rPr>
                <w:i/>
                <w:iCs/>
                <w:sz w:val="24"/>
                <w:szCs w:val="24"/>
              </w:rPr>
              <w:t>Tekster til buddhismen</w:t>
            </w:r>
            <w:r w:rsidR="00D0415F" w:rsidRPr="003538F1">
              <w:rPr>
                <w:sz w:val="24"/>
                <w:szCs w:val="24"/>
              </w:rPr>
              <w:t>. Gyldendal. KBH 1980.</w:t>
            </w:r>
          </w:p>
        </w:tc>
      </w:tr>
    </w:tbl>
    <w:p w14:paraId="7649C968" w14:textId="77777777" w:rsidR="003538F1" w:rsidRDefault="003538F1" w:rsidP="003538F1">
      <w:pPr>
        <w:pStyle w:val="Overskrift2"/>
      </w:pPr>
    </w:p>
    <w:p w14:paraId="0331A56F" w14:textId="77777777" w:rsidR="003538F1" w:rsidRDefault="003538F1">
      <w:pPr>
        <w:rPr>
          <w:rFonts w:asciiTheme="majorHAnsi" w:eastAsiaTheme="majorEastAsia" w:hAnsiTheme="majorHAnsi" w:cstheme="majorBidi"/>
          <w:b/>
          <w:bCs/>
          <w:color w:val="2E74B5" w:themeColor="accent1" w:themeShade="BF"/>
          <w:sz w:val="30"/>
          <w:szCs w:val="30"/>
        </w:rPr>
      </w:pPr>
      <w:r>
        <w:br w:type="page"/>
      </w:r>
    </w:p>
    <w:p w14:paraId="11F3D418" w14:textId="0D427CAD" w:rsidR="003A7E39" w:rsidRPr="003538F1" w:rsidRDefault="00DB54AF" w:rsidP="003538F1">
      <w:pPr>
        <w:pStyle w:val="Overskrift2"/>
      </w:pPr>
      <w:bookmarkStart w:id="4" w:name="Munkelivet_i_tibet"/>
      <w:r w:rsidRPr="003538F1">
        <w:lastRenderedPageBreak/>
        <w:t xml:space="preserve">”Munkeliv i Tibet” </w:t>
      </w:r>
    </w:p>
    <w:bookmarkEnd w:id="4"/>
    <w:p w14:paraId="05352FB0" w14:textId="1B06CD3B" w:rsidR="006B3D48" w:rsidRPr="006B3D48" w:rsidRDefault="006B3D48" w:rsidP="00DB54AF">
      <w:pPr>
        <w:rPr>
          <w:sz w:val="28"/>
        </w:rPr>
      </w:pPr>
      <w:r w:rsidRPr="006B3D48">
        <w:rPr>
          <w:sz w:val="28"/>
        </w:rPr>
        <w:t>På vegne af ‘</w:t>
      </w:r>
      <w:proofErr w:type="spellStart"/>
      <w:r w:rsidRPr="006B3D48">
        <w:rPr>
          <w:sz w:val="28"/>
        </w:rPr>
        <w:t>Tibetan</w:t>
      </w:r>
      <w:proofErr w:type="spellEnd"/>
      <w:r w:rsidRPr="006B3D48">
        <w:rPr>
          <w:sz w:val="28"/>
        </w:rPr>
        <w:t xml:space="preserve"> </w:t>
      </w:r>
      <w:proofErr w:type="spellStart"/>
      <w:r w:rsidRPr="006B3D48">
        <w:rPr>
          <w:sz w:val="28"/>
        </w:rPr>
        <w:t>Council</w:t>
      </w:r>
      <w:proofErr w:type="spellEnd"/>
      <w:r w:rsidRPr="006B3D48">
        <w:rPr>
          <w:sz w:val="28"/>
        </w:rPr>
        <w:t xml:space="preserve"> for </w:t>
      </w:r>
      <w:proofErr w:type="spellStart"/>
      <w:r w:rsidRPr="006B3D48">
        <w:rPr>
          <w:sz w:val="28"/>
        </w:rPr>
        <w:t>Religious</w:t>
      </w:r>
      <w:proofErr w:type="spellEnd"/>
      <w:r w:rsidRPr="006B3D48">
        <w:rPr>
          <w:sz w:val="28"/>
        </w:rPr>
        <w:t xml:space="preserve"> and </w:t>
      </w:r>
      <w:proofErr w:type="spellStart"/>
      <w:r w:rsidRPr="006B3D48">
        <w:rPr>
          <w:sz w:val="28"/>
        </w:rPr>
        <w:t>Culturel</w:t>
      </w:r>
      <w:proofErr w:type="spellEnd"/>
      <w:r w:rsidRPr="006B3D48">
        <w:rPr>
          <w:sz w:val="28"/>
        </w:rPr>
        <w:t xml:space="preserve"> </w:t>
      </w:r>
      <w:proofErr w:type="spellStart"/>
      <w:r w:rsidRPr="006B3D48">
        <w:rPr>
          <w:sz w:val="28"/>
        </w:rPr>
        <w:t>affaires</w:t>
      </w:r>
      <w:proofErr w:type="spellEnd"/>
      <w:r w:rsidRPr="006B3D48">
        <w:rPr>
          <w:sz w:val="28"/>
        </w:rPr>
        <w:t xml:space="preserve">’ udgav </w:t>
      </w:r>
      <w:proofErr w:type="spellStart"/>
      <w:r w:rsidRPr="006B3D48">
        <w:rPr>
          <w:sz w:val="28"/>
        </w:rPr>
        <w:t>Chö</w:t>
      </w:r>
      <w:proofErr w:type="spellEnd"/>
      <w:r w:rsidRPr="006B3D48">
        <w:rPr>
          <w:sz w:val="28"/>
        </w:rPr>
        <w:t xml:space="preserve">-Yang </w:t>
      </w:r>
      <w:r w:rsidR="00B167DC">
        <w:rPr>
          <w:sz w:val="28"/>
        </w:rPr>
        <w:t>fra</w:t>
      </w:r>
      <w:r w:rsidRPr="006B3D48">
        <w:rPr>
          <w:sz w:val="28"/>
        </w:rPr>
        <w:t xml:space="preserve"> 1986 </w:t>
      </w:r>
      <w:r w:rsidR="00B167DC">
        <w:rPr>
          <w:sz w:val="28"/>
        </w:rPr>
        <w:t xml:space="preserve">og frem </w:t>
      </w:r>
      <w:r w:rsidRPr="006B3D48">
        <w:rPr>
          <w:sz w:val="28"/>
        </w:rPr>
        <w:t>en ræk</w:t>
      </w:r>
      <w:r>
        <w:rPr>
          <w:sz w:val="28"/>
        </w:rPr>
        <w:t>ke bøger om tibetansk-buddhistisk religion, liv og kultur. Herunder ses beskrivelsen af munkelivet i Tibet</w:t>
      </w:r>
      <w:r w:rsidR="00F71358">
        <w:rPr>
          <w:sz w:val="28"/>
        </w:rPr>
        <w:t xml:space="preserve"> samt af den dagligdag en munk typisk oplever</w:t>
      </w:r>
      <w:r>
        <w:rPr>
          <w:sz w:val="28"/>
        </w:rPr>
        <w:t xml:space="preserve">. Se også </w:t>
      </w:r>
      <w:r w:rsidRPr="006B3D48">
        <w:rPr>
          <w:sz w:val="28"/>
        </w:rPr>
        <w:t>https://tibet.net/department/religion/</w:t>
      </w:r>
    </w:p>
    <w:p w14:paraId="61AFD020" w14:textId="6449FB29" w:rsidR="00DB54AF" w:rsidRPr="00DB54AF" w:rsidRDefault="006B3D48" w:rsidP="00DB54AF">
      <w:pPr>
        <w:rPr>
          <w:sz w:val="28"/>
        </w:rPr>
      </w:pPr>
      <w:r>
        <w:rPr>
          <w:sz w:val="28"/>
        </w:rPr>
        <w:t>”</w:t>
      </w:r>
      <w:r w:rsidR="00DB54AF" w:rsidRPr="00DB54AF">
        <w:rPr>
          <w:sz w:val="28"/>
        </w:rPr>
        <w:t>Det traditionelle munkeliv i Tibet foregår ideelt set, på denne vis.</w:t>
      </w:r>
    </w:p>
    <w:p w14:paraId="30D0389D" w14:textId="77777777" w:rsidR="00DB54AF" w:rsidRPr="00DB54AF" w:rsidRDefault="00DB54AF" w:rsidP="00DB54AF">
      <w:pPr>
        <w:rPr>
          <w:sz w:val="28"/>
        </w:rPr>
      </w:pPr>
      <w:r w:rsidRPr="00DB54AF">
        <w:rPr>
          <w:sz w:val="28"/>
        </w:rPr>
        <w:t xml:space="preserve">Klostre var oprindeligt de eneste muligheder for uddannelse i Tibet. De havde derfor en samfundsbevarende funktion. Klostrets leder skal være en </w:t>
      </w:r>
      <w:proofErr w:type="spellStart"/>
      <w:r w:rsidRPr="00DB54AF">
        <w:rPr>
          <w:sz w:val="28"/>
        </w:rPr>
        <w:t>boddhisathva</w:t>
      </w:r>
      <w:proofErr w:type="spellEnd"/>
      <w:r w:rsidRPr="00DB54AF">
        <w:rPr>
          <w:sz w:val="28"/>
        </w:rPr>
        <w:t xml:space="preserve">, som er bragt til klostret som lille. </w:t>
      </w:r>
    </w:p>
    <w:p w14:paraId="3F18A279" w14:textId="77777777" w:rsidR="00DB54AF" w:rsidRPr="00DB54AF" w:rsidRDefault="00DB54AF" w:rsidP="00DB54AF">
      <w:pPr>
        <w:rPr>
          <w:sz w:val="28"/>
        </w:rPr>
      </w:pPr>
      <w:r w:rsidRPr="00DB54AF">
        <w:rPr>
          <w:sz w:val="28"/>
        </w:rPr>
        <w:t xml:space="preserve">Indtrædelse i klostret sker i 7-12 årsalderen. Hvis et barn er udvalgt til at blive munk eller hvis en ung vælger at indtræde i et kloster, får denne tildelt en læremester, der kan følge eleven indtil denne selv opnår læremesterpositionen (eller læremesteren dør). Man udsiger derfor </w:t>
      </w:r>
      <w:proofErr w:type="spellStart"/>
      <w:r w:rsidRPr="00DB54AF">
        <w:rPr>
          <w:sz w:val="28"/>
        </w:rPr>
        <w:t>triratna</w:t>
      </w:r>
      <w:proofErr w:type="spellEnd"/>
      <w:r w:rsidRPr="00DB54AF">
        <w:rPr>
          <w:sz w:val="28"/>
        </w:rPr>
        <w:t xml:space="preserve"> med et led mere ”Jeg tager min tilflugt til Lama”.  Til gengæld for undervisning skal eleven vaske tøj, lave mad til læreren etc. </w:t>
      </w:r>
    </w:p>
    <w:p w14:paraId="2F1DC1B7" w14:textId="77777777" w:rsidR="00DB54AF" w:rsidRPr="00DB54AF" w:rsidRDefault="00DB54AF" w:rsidP="00DB54AF">
      <w:pPr>
        <w:rPr>
          <w:sz w:val="28"/>
        </w:rPr>
      </w:pPr>
      <w:r w:rsidRPr="00DB54AF">
        <w:rPr>
          <w:sz w:val="28"/>
        </w:rPr>
        <w:t xml:space="preserve">Munkenovicen går i 15 klasser á 1 år, før han er uddannet. Den afsluttende eksamen kaldes en </w:t>
      </w:r>
      <w:proofErr w:type="spellStart"/>
      <w:r w:rsidRPr="00DB54AF">
        <w:rPr>
          <w:sz w:val="28"/>
        </w:rPr>
        <w:t>geshe</w:t>
      </w:r>
      <w:proofErr w:type="spellEnd"/>
      <w:r w:rsidRPr="00DB54AF">
        <w:rPr>
          <w:sz w:val="28"/>
        </w:rPr>
        <w:t xml:space="preserve">-eksamen, og den afvikles under </w:t>
      </w:r>
      <w:proofErr w:type="spellStart"/>
      <w:r w:rsidRPr="00DB54AF">
        <w:rPr>
          <w:sz w:val="28"/>
        </w:rPr>
        <w:t>Monlam</w:t>
      </w:r>
      <w:proofErr w:type="spellEnd"/>
      <w:r w:rsidRPr="00DB54AF">
        <w:rPr>
          <w:sz w:val="28"/>
        </w:rPr>
        <w:t xml:space="preserve">-festen (fejringen af </w:t>
      </w:r>
      <w:proofErr w:type="spellStart"/>
      <w:r w:rsidRPr="00DB54AF">
        <w:rPr>
          <w:sz w:val="28"/>
        </w:rPr>
        <w:t>buddhas</w:t>
      </w:r>
      <w:proofErr w:type="spellEnd"/>
      <w:r w:rsidRPr="00DB54AF">
        <w:rPr>
          <w:sz w:val="28"/>
        </w:rPr>
        <w:t xml:space="preserve"> oplysning), hvor eleven bl.a. skal debattere med 15 andre munke. Eksamen foregår over flere dage og man bedømmes på en skala fra 1-8.</w:t>
      </w:r>
    </w:p>
    <w:p w14:paraId="239D6771" w14:textId="77777777" w:rsidR="00DB54AF" w:rsidRPr="00DB54AF" w:rsidRDefault="00DB54AF" w:rsidP="00DB54AF">
      <w:pPr>
        <w:rPr>
          <w:sz w:val="28"/>
        </w:rPr>
      </w:pPr>
      <w:r w:rsidRPr="00DB54AF">
        <w:rPr>
          <w:sz w:val="28"/>
        </w:rPr>
        <w:t>Tidligere var Dalai Lama til stede og overværede eksamen. Dagligdagen:</w:t>
      </w:r>
    </w:p>
    <w:p w14:paraId="68962B59" w14:textId="77777777" w:rsidR="00DB54AF" w:rsidRPr="00DB54AF" w:rsidRDefault="00DB54AF" w:rsidP="00DB54AF">
      <w:pPr>
        <w:rPr>
          <w:sz w:val="28"/>
        </w:rPr>
      </w:pPr>
      <w:r w:rsidRPr="00DB54AF">
        <w:rPr>
          <w:sz w:val="28"/>
        </w:rPr>
        <w:t>Kl 5 bøn og te-drikning.</w:t>
      </w:r>
    </w:p>
    <w:p w14:paraId="6409D23E" w14:textId="77777777" w:rsidR="00DB54AF" w:rsidRPr="00DB54AF" w:rsidRDefault="00DB54AF" w:rsidP="00DB54AF">
      <w:pPr>
        <w:rPr>
          <w:sz w:val="28"/>
        </w:rPr>
      </w:pPr>
      <w:r w:rsidRPr="00DB54AF">
        <w:rPr>
          <w:sz w:val="28"/>
        </w:rPr>
        <w:t xml:space="preserve">7:30 Debat-time. </w:t>
      </w:r>
    </w:p>
    <w:p w14:paraId="67D3775A" w14:textId="77777777" w:rsidR="00DB54AF" w:rsidRPr="00DB54AF" w:rsidRDefault="00DB54AF" w:rsidP="00DB54AF">
      <w:pPr>
        <w:rPr>
          <w:sz w:val="28"/>
        </w:rPr>
      </w:pPr>
      <w:r w:rsidRPr="00DB54AF">
        <w:rPr>
          <w:sz w:val="28"/>
        </w:rPr>
        <w:t xml:space="preserve">8:30 Læsning og diskussion af tekst med lærer og udenadslære (ca. 20 sider om dagen). Når man er færdig med uddannelsen, skal man kunne 6000 sider udenad. </w:t>
      </w:r>
    </w:p>
    <w:p w14:paraId="3696A7F0" w14:textId="77777777" w:rsidR="00DB54AF" w:rsidRPr="00DB54AF" w:rsidRDefault="00DB54AF" w:rsidP="00DB54AF">
      <w:pPr>
        <w:rPr>
          <w:sz w:val="28"/>
        </w:rPr>
      </w:pPr>
      <w:r w:rsidRPr="00DB54AF">
        <w:rPr>
          <w:sz w:val="28"/>
        </w:rPr>
        <w:t xml:space="preserve">12:00 frokost (vegetarisk). Herefter udenadslære og debattimer. </w:t>
      </w:r>
    </w:p>
    <w:p w14:paraId="4CB57FC6" w14:textId="77777777" w:rsidR="00DB54AF" w:rsidRPr="00DB54AF" w:rsidRDefault="00DB54AF" w:rsidP="00DB54AF">
      <w:pPr>
        <w:rPr>
          <w:sz w:val="28"/>
        </w:rPr>
      </w:pPr>
      <w:r w:rsidRPr="00DB54AF">
        <w:rPr>
          <w:sz w:val="28"/>
        </w:rPr>
        <w:t xml:space="preserve">Ved solnedgang: Aftenbøn derefter meditation med mantraer og ved </w:t>
      </w:r>
      <w:proofErr w:type="spellStart"/>
      <w:r w:rsidRPr="00DB54AF">
        <w:rPr>
          <w:sz w:val="28"/>
        </w:rPr>
        <w:t>mandalaer</w:t>
      </w:r>
      <w:proofErr w:type="spellEnd"/>
      <w:r w:rsidRPr="00DB54AF">
        <w:rPr>
          <w:sz w:val="28"/>
        </w:rPr>
        <w:t xml:space="preserve"> til midnat. </w:t>
      </w:r>
    </w:p>
    <w:p w14:paraId="69F3A3BF" w14:textId="77777777" w:rsidR="00DB54AF" w:rsidRPr="00DB54AF" w:rsidRDefault="00DB54AF" w:rsidP="00DB54AF">
      <w:pPr>
        <w:rPr>
          <w:sz w:val="28"/>
        </w:rPr>
      </w:pPr>
      <w:r w:rsidRPr="00DB54AF">
        <w:rPr>
          <w:sz w:val="28"/>
        </w:rPr>
        <w:t xml:space="preserve">Den tibetanske meditationsteknik er </w:t>
      </w:r>
      <w:proofErr w:type="spellStart"/>
      <w:r w:rsidRPr="00DB54AF">
        <w:rPr>
          <w:sz w:val="28"/>
        </w:rPr>
        <w:t>tantrisk</w:t>
      </w:r>
      <w:proofErr w:type="spellEnd"/>
      <w:r w:rsidRPr="00DB54AF">
        <w:rPr>
          <w:sz w:val="28"/>
        </w:rPr>
        <w:t xml:space="preserve">, dvs. at man vil forene menneskets to poler, det kvindelige og det mandlige. Disse er symboliseret ved en klokke (symbolsk for ’det kvindelige’ og Buddhas tale) og en </w:t>
      </w:r>
      <w:proofErr w:type="spellStart"/>
      <w:r w:rsidRPr="00DB54AF">
        <w:rPr>
          <w:sz w:val="28"/>
        </w:rPr>
        <w:t>vajra</w:t>
      </w:r>
      <w:proofErr w:type="spellEnd"/>
      <w:r w:rsidRPr="00DB54AF">
        <w:rPr>
          <w:sz w:val="28"/>
        </w:rPr>
        <w:t xml:space="preserve"> (metal formet som et lyn med en kugle i midten, symboliserende ’det mandlige’ samt Buddhas perfekte sind).</w:t>
      </w:r>
    </w:p>
    <w:p w14:paraId="42DDC7E7" w14:textId="26E4368C" w:rsidR="00DB54AF" w:rsidRPr="008D5AB4" w:rsidRDefault="00DB54AF" w:rsidP="00DB54AF">
      <w:pPr>
        <w:rPr>
          <w:sz w:val="28"/>
          <w:lang w:val="en-US"/>
        </w:rPr>
      </w:pPr>
      <w:r w:rsidRPr="00DB54AF">
        <w:rPr>
          <w:sz w:val="28"/>
        </w:rPr>
        <w:t xml:space="preserve">Der er perioder uden undervisning, hvor man udelukkende fokuserer på meditation. </w:t>
      </w:r>
      <w:r w:rsidRPr="008D5AB4">
        <w:rPr>
          <w:sz w:val="28"/>
          <w:lang w:val="en-US"/>
        </w:rPr>
        <w:t xml:space="preserve">De </w:t>
      </w:r>
      <w:proofErr w:type="spellStart"/>
      <w:r w:rsidRPr="008D5AB4">
        <w:rPr>
          <w:sz w:val="28"/>
          <w:lang w:val="en-US"/>
        </w:rPr>
        <w:t>længste</w:t>
      </w:r>
      <w:proofErr w:type="spellEnd"/>
      <w:r w:rsidRPr="008D5AB4">
        <w:rPr>
          <w:sz w:val="28"/>
          <w:lang w:val="en-US"/>
        </w:rPr>
        <w:t xml:space="preserve"> </w:t>
      </w:r>
      <w:proofErr w:type="spellStart"/>
      <w:r w:rsidRPr="008D5AB4">
        <w:rPr>
          <w:sz w:val="28"/>
          <w:lang w:val="en-US"/>
        </w:rPr>
        <w:t>meditationsperioder</w:t>
      </w:r>
      <w:proofErr w:type="spellEnd"/>
      <w:r w:rsidRPr="008D5AB4">
        <w:rPr>
          <w:sz w:val="28"/>
          <w:lang w:val="en-US"/>
        </w:rPr>
        <w:t xml:space="preserve"> </w:t>
      </w:r>
      <w:proofErr w:type="spellStart"/>
      <w:r w:rsidRPr="008D5AB4">
        <w:rPr>
          <w:sz w:val="28"/>
          <w:lang w:val="en-US"/>
        </w:rPr>
        <w:t>tager</w:t>
      </w:r>
      <w:proofErr w:type="spellEnd"/>
      <w:r w:rsidRPr="008D5AB4">
        <w:rPr>
          <w:sz w:val="28"/>
          <w:lang w:val="en-US"/>
        </w:rPr>
        <w:t xml:space="preserve"> </w:t>
      </w:r>
      <w:proofErr w:type="spellStart"/>
      <w:r w:rsidRPr="008D5AB4">
        <w:rPr>
          <w:sz w:val="28"/>
          <w:lang w:val="en-US"/>
        </w:rPr>
        <w:t>typisk</w:t>
      </w:r>
      <w:proofErr w:type="spellEnd"/>
      <w:r w:rsidRPr="008D5AB4">
        <w:rPr>
          <w:sz w:val="28"/>
          <w:lang w:val="en-US"/>
        </w:rPr>
        <w:t xml:space="preserve"> 6 </w:t>
      </w:r>
      <w:proofErr w:type="spellStart"/>
      <w:r w:rsidRPr="008D5AB4">
        <w:rPr>
          <w:sz w:val="28"/>
          <w:lang w:val="en-US"/>
        </w:rPr>
        <w:t>uger</w:t>
      </w:r>
      <w:proofErr w:type="spellEnd"/>
      <w:r w:rsidRPr="008D5AB4">
        <w:rPr>
          <w:sz w:val="28"/>
          <w:lang w:val="en-US"/>
        </w:rPr>
        <w:t>.</w:t>
      </w:r>
      <w:r w:rsidR="006B3D48" w:rsidRPr="008D5AB4">
        <w:rPr>
          <w:sz w:val="28"/>
          <w:lang w:val="en-US"/>
        </w:rPr>
        <w:t>”</w:t>
      </w:r>
    </w:p>
    <w:p w14:paraId="514AC9E0" w14:textId="50725096" w:rsidR="00DB54AF" w:rsidRPr="003538F1" w:rsidRDefault="003538F1" w:rsidP="00DB54AF">
      <w:pPr>
        <w:rPr>
          <w:sz w:val="24"/>
          <w:szCs w:val="24"/>
        </w:rPr>
      </w:pPr>
      <w:proofErr w:type="spellStart"/>
      <w:r w:rsidRPr="006B3D48">
        <w:rPr>
          <w:b/>
          <w:bCs/>
          <w:sz w:val="24"/>
          <w:szCs w:val="24"/>
          <w:lang w:val="en-US"/>
        </w:rPr>
        <w:lastRenderedPageBreak/>
        <w:t>Kilde</w:t>
      </w:r>
      <w:proofErr w:type="spellEnd"/>
      <w:r w:rsidRPr="006B3D48">
        <w:rPr>
          <w:b/>
          <w:bCs/>
          <w:sz w:val="24"/>
          <w:szCs w:val="24"/>
          <w:lang w:val="en-US"/>
        </w:rPr>
        <w:t>:</w:t>
      </w:r>
      <w:r w:rsidR="00DB54AF" w:rsidRPr="006B3D48">
        <w:rPr>
          <w:sz w:val="24"/>
          <w:szCs w:val="24"/>
          <w:lang w:val="en-US"/>
        </w:rPr>
        <w:t xml:space="preserve"> </w:t>
      </w:r>
      <w:proofErr w:type="spellStart"/>
      <w:r w:rsidR="00DB54AF" w:rsidRPr="006B3D48">
        <w:rPr>
          <w:sz w:val="24"/>
          <w:szCs w:val="24"/>
          <w:lang w:val="en-US"/>
        </w:rPr>
        <w:t>Chö</w:t>
      </w:r>
      <w:proofErr w:type="spellEnd"/>
      <w:r w:rsidR="00DB54AF" w:rsidRPr="006B3D48">
        <w:rPr>
          <w:sz w:val="24"/>
          <w:szCs w:val="24"/>
          <w:lang w:val="en-US"/>
        </w:rPr>
        <w:t xml:space="preserve">-Yang: </w:t>
      </w:r>
      <w:r w:rsidR="00DB54AF" w:rsidRPr="006B3D48">
        <w:rPr>
          <w:i/>
          <w:iCs/>
          <w:sz w:val="24"/>
          <w:szCs w:val="24"/>
          <w:lang w:val="en-US"/>
        </w:rPr>
        <w:t>The Voice o</w:t>
      </w:r>
      <w:r w:rsidR="006B3D48" w:rsidRPr="006B3D48">
        <w:rPr>
          <w:i/>
          <w:iCs/>
          <w:sz w:val="24"/>
          <w:szCs w:val="24"/>
          <w:lang w:val="en-US"/>
        </w:rPr>
        <w:t>f</w:t>
      </w:r>
      <w:r w:rsidR="00DB54AF" w:rsidRPr="006B3D48">
        <w:rPr>
          <w:i/>
          <w:iCs/>
          <w:sz w:val="24"/>
          <w:szCs w:val="24"/>
          <w:lang w:val="en-US"/>
        </w:rPr>
        <w:t xml:space="preserve"> Tibetan Religion and Culture</w:t>
      </w:r>
      <w:r w:rsidR="00DB54AF" w:rsidRPr="006B3D48">
        <w:rPr>
          <w:sz w:val="24"/>
          <w:szCs w:val="24"/>
          <w:lang w:val="en-US"/>
        </w:rPr>
        <w:t xml:space="preserve"> no. 1. </w:t>
      </w:r>
      <w:r w:rsidR="00DB54AF" w:rsidRPr="008D5AB4">
        <w:rPr>
          <w:sz w:val="24"/>
          <w:szCs w:val="24"/>
          <w:lang w:val="en-US"/>
        </w:rPr>
        <w:t xml:space="preserve">Council for Religious and </w:t>
      </w:r>
      <w:proofErr w:type="spellStart"/>
      <w:r w:rsidR="00DB54AF" w:rsidRPr="008D5AB4">
        <w:rPr>
          <w:sz w:val="24"/>
          <w:szCs w:val="24"/>
          <w:lang w:val="en-US"/>
        </w:rPr>
        <w:t>Culturel</w:t>
      </w:r>
      <w:proofErr w:type="spellEnd"/>
      <w:r w:rsidR="00DB54AF" w:rsidRPr="008D5AB4">
        <w:rPr>
          <w:sz w:val="24"/>
          <w:szCs w:val="24"/>
          <w:lang w:val="en-US"/>
        </w:rPr>
        <w:t xml:space="preserve"> affaires. </w:t>
      </w:r>
      <w:proofErr w:type="spellStart"/>
      <w:r w:rsidR="00DB54AF" w:rsidRPr="003538F1">
        <w:rPr>
          <w:sz w:val="24"/>
          <w:szCs w:val="24"/>
        </w:rPr>
        <w:t>Dhramsala</w:t>
      </w:r>
      <w:proofErr w:type="spellEnd"/>
      <w:r w:rsidR="00DB54AF" w:rsidRPr="003538F1">
        <w:rPr>
          <w:sz w:val="24"/>
          <w:szCs w:val="24"/>
        </w:rPr>
        <w:t xml:space="preserve"> 1986</w:t>
      </w:r>
      <w:r>
        <w:rPr>
          <w:sz w:val="24"/>
          <w:szCs w:val="24"/>
        </w:rPr>
        <w:t>.</w:t>
      </w:r>
    </w:p>
    <w:p w14:paraId="7AEC8279" w14:textId="77777777" w:rsidR="003A7E39" w:rsidRDefault="003A7E39">
      <w:pPr>
        <w:rPr>
          <w:sz w:val="28"/>
        </w:rPr>
      </w:pPr>
      <w:r>
        <w:rPr>
          <w:sz w:val="28"/>
        </w:rPr>
        <w:br w:type="page"/>
      </w:r>
    </w:p>
    <w:p w14:paraId="5F70F73F" w14:textId="456AB930" w:rsidR="003A7E39" w:rsidRDefault="00B57935" w:rsidP="003538F1">
      <w:pPr>
        <w:pStyle w:val="Overskrift2"/>
      </w:pPr>
      <w:bookmarkStart w:id="5" w:name="de_10_forskrifter"/>
      <w:r w:rsidRPr="003A7E39">
        <w:lastRenderedPageBreak/>
        <w:t>”De 10 forskrifter</w:t>
      </w:r>
      <w:r w:rsidR="003A7E39" w:rsidRPr="003A7E39">
        <w:t>”</w:t>
      </w:r>
    </w:p>
    <w:bookmarkEnd w:id="5"/>
    <w:p w14:paraId="2A4F4BAB" w14:textId="2FD171B6" w:rsidR="001D429D" w:rsidRPr="001D429D" w:rsidRDefault="001D429D" w:rsidP="001D429D">
      <w:pPr>
        <w:rPr>
          <w:sz w:val="28"/>
          <w:szCs w:val="28"/>
        </w:rPr>
      </w:pPr>
      <w:r>
        <w:rPr>
          <w:sz w:val="28"/>
          <w:szCs w:val="28"/>
        </w:rPr>
        <w:t xml:space="preserve">De 10 forskrifter </w:t>
      </w:r>
      <w:r w:rsidR="004C02A8">
        <w:rPr>
          <w:sz w:val="28"/>
          <w:szCs w:val="28"/>
        </w:rPr>
        <w:t xml:space="preserve">herunder </w:t>
      </w:r>
      <w:r>
        <w:rPr>
          <w:sz w:val="28"/>
          <w:szCs w:val="28"/>
        </w:rPr>
        <w:t xml:space="preserve">er et uddrag fra </w:t>
      </w:r>
      <w:proofErr w:type="spellStart"/>
      <w:r w:rsidRPr="001D429D">
        <w:rPr>
          <w:sz w:val="28"/>
          <w:szCs w:val="28"/>
        </w:rPr>
        <w:t>Vinaya-pitaka</w:t>
      </w:r>
      <w:proofErr w:type="spellEnd"/>
      <w:r>
        <w:rPr>
          <w:sz w:val="28"/>
          <w:szCs w:val="28"/>
        </w:rPr>
        <w:t>, som igen er en del af de</w:t>
      </w:r>
      <w:r w:rsidR="003361E9">
        <w:rPr>
          <w:sz w:val="28"/>
          <w:szCs w:val="28"/>
        </w:rPr>
        <w:t>t</w:t>
      </w:r>
      <w:r>
        <w:rPr>
          <w:sz w:val="28"/>
          <w:szCs w:val="28"/>
        </w:rPr>
        <w:t xml:space="preserve"> kanoniske skrift </w:t>
      </w:r>
      <w:proofErr w:type="spellStart"/>
      <w:r>
        <w:rPr>
          <w:sz w:val="28"/>
          <w:szCs w:val="28"/>
        </w:rPr>
        <w:t>Tripitaka</w:t>
      </w:r>
      <w:proofErr w:type="spellEnd"/>
      <w:r>
        <w:rPr>
          <w:sz w:val="28"/>
          <w:szCs w:val="28"/>
        </w:rPr>
        <w:t xml:space="preserve">. Uddraget </w:t>
      </w:r>
      <w:r w:rsidR="003361E9">
        <w:rPr>
          <w:sz w:val="28"/>
          <w:szCs w:val="28"/>
        </w:rPr>
        <w:t>er på samme tid</w:t>
      </w:r>
      <w:r>
        <w:rPr>
          <w:sz w:val="28"/>
          <w:szCs w:val="28"/>
        </w:rPr>
        <w:t xml:space="preserve"> en guide og et regelsæt </w:t>
      </w:r>
      <w:r w:rsidR="003361E9">
        <w:rPr>
          <w:sz w:val="28"/>
          <w:szCs w:val="28"/>
        </w:rPr>
        <w:t>for munkelivet.</w:t>
      </w:r>
      <w:r w:rsidR="004C02A8">
        <w:rPr>
          <w:sz w:val="28"/>
          <w:szCs w:val="28"/>
        </w:rPr>
        <w:t xml:space="preserve"> Forskrifterne siges, at være givet af Buddha selv.</w:t>
      </w:r>
    </w:p>
    <w:p w14:paraId="3D2F71DD" w14:textId="0B8C36CF" w:rsidR="00B57935" w:rsidRPr="00B57935" w:rsidRDefault="006B3D48" w:rsidP="00B57935">
      <w:pPr>
        <w:rPr>
          <w:sz w:val="28"/>
        </w:rPr>
      </w:pPr>
      <w:r>
        <w:rPr>
          <w:sz w:val="28"/>
        </w:rPr>
        <w:t>”</w:t>
      </w:r>
      <w:r w:rsidR="00B57935" w:rsidRPr="00B57935">
        <w:rPr>
          <w:sz w:val="28"/>
        </w:rPr>
        <w:t xml:space="preserve">Munke, jeg fastsætter ti forskrifter for novicerne og i disse skal novicerne optrænes: </w:t>
      </w:r>
    </w:p>
    <w:p w14:paraId="602FFCCE" w14:textId="77777777" w:rsidR="00B57935" w:rsidRPr="00B57935" w:rsidRDefault="00B57935" w:rsidP="00B57935">
      <w:pPr>
        <w:rPr>
          <w:sz w:val="28"/>
        </w:rPr>
      </w:pPr>
      <w:r w:rsidRPr="00B57935">
        <w:rPr>
          <w:sz w:val="28"/>
        </w:rPr>
        <w:t>Afholdelse fra at dræbe levende væsner</w:t>
      </w:r>
    </w:p>
    <w:p w14:paraId="2C025CA7" w14:textId="77777777" w:rsidR="00B57935" w:rsidRPr="00B57935" w:rsidRDefault="00B57935" w:rsidP="00B57935">
      <w:pPr>
        <w:rPr>
          <w:sz w:val="28"/>
        </w:rPr>
      </w:pPr>
      <w:r w:rsidRPr="00B57935">
        <w:rPr>
          <w:sz w:val="28"/>
        </w:rPr>
        <w:t>Afholdelse fra at tage, hvad der ikke er givet</w:t>
      </w:r>
    </w:p>
    <w:p w14:paraId="71A94922" w14:textId="77777777" w:rsidR="00B57935" w:rsidRPr="00B57935" w:rsidRDefault="00B57935" w:rsidP="00B57935">
      <w:pPr>
        <w:rPr>
          <w:sz w:val="28"/>
        </w:rPr>
      </w:pPr>
      <w:r w:rsidRPr="00B57935">
        <w:rPr>
          <w:sz w:val="28"/>
        </w:rPr>
        <w:t xml:space="preserve">Afholdelse fra </w:t>
      </w:r>
      <w:proofErr w:type="spellStart"/>
      <w:r w:rsidRPr="00B57935">
        <w:rPr>
          <w:sz w:val="28"/>
        </w:rPr>
        <w:t>ukysk</w:t>
      </w:r>
      <w:proofErr w:type="spellEnd"/>
      <w:r w:rsidRPr="00B57935">
        <w:rPr>
          <w:sz w:val="28"/>
        </w:rPr>
        <w:t xml:space="preserve"> levevis</w:t>
      </w:r>
    </w:p>
    <w:p w14:paraId="06678EB9" w14:textId="77777777" w:rsidR="00B57935" w:rsidRPr="00B57935" w:rsidRDefault="00B57935" w:rsidP="00B57935">
      <w:pPr>
        <w:rPr>
          <w:sz w:val="28"/>
        </w:rPr>
      </w:pPr>
      <w:r w:rsidRPr="00B57935">
        <w:rPr>
          <w:sz w:val="28"/>
        </w:rPr>
        <w:t>Afholdelse fra løgn</w:t>
      </w:r>
    </w:p>
    <w:p w14:paraId="4DDAFBF0" w14:textId="77777777" w:rsidR="00B57935" w:rsidRPr="00B57935" w:rsidRDefault="00B57935" w:rsidP="00B57935">
      <w:pPr>
        <w:rPr>
          <w:sz w:val="28"/>
        </w:rPr>
      </w:pPr>
      <w:r w:rsidRPr="00B57935">
        <w:rPr>
          <w:sz w:val="28"/>
        </w:rPr>
        <w:t xml:space="preserve">Afholdelse fragærede, spirituøse og stærke drikke, som forårsager </w:t>
      </w:r>
      <w:proofErr w:type="spellStart"/>
      <w:r w:rsidRPr="00B57935">
        <w:rPr>
          <w:sz w:val="28"/>
        </w:rPr>
        <w:t>ladhed</w:t>
      </w:r>
      <w:proofErr w:type="spellEnd"/>
    </w:p>
    <w:p w14:paraId="650010E2" w14:textId="77777777" w:rsidR="00B57935" w:rsidRPr="00B57935" w:rsidRDefault="00B57935" w:rsidP="00B57935">
      <w:pPr>
        <w:rPr>
          <w:sz w:val="28"/>
        </w:rPr>
      </w:pPr>
      <w:r w:rsidRPr="00B57935">
        <w:rPr>
          <w:sz w:val="28"/>
        </w:rPr>
        <w:t>Afholdelse fra at spise på de forbudte tidspunkter</w:t>
      </w:r>
    </w:p>
    <w:p w14:paraId="4E94A11E" w14:textId="77777777" w:rsidR="00B57935" w:rsidRPr="00B57935" w:rsidRDefault="00B57935" w:rsidP="00B57935">
      <w:pPr>
        <w:rPr>
          <w:sz w:val="28"/>
        </w:rPr>
      </w:pPr>
      <w:r w:rsidRPr="00B57935">
        <w:rPr>
          <w:sz w:val="28"/>
        </w:rPr>
        <w:t>Afholdelse fra at overvære forestillinger med dans, sang og musik</w:t>
      </w:r>
    </w:p>
    <w:p w14:paraId="36F5CEC5" w14:textId="77777777" w:rsidR="00B57935" w:rsidRPr="00B57935" w:rsidRDefault="00B57935" w:rsidP="00B57935">
      <w:pPr>
        <w:rPr>
          <w:sz w:val="28"/>
        </w:rPr>
      </w:pPr>
      <w:r w:rsidRPr="00B57935">
        <w:rPr>
          <w:sz w:val="28"/>
        </w:rPr>
        <w:t>Afholdelse fra at bruge blomsterkranse, parfumer og salver, som tjener til udsmykning og pynt</w:t>
      </w:r>
    </w:p>
    <w:p w14:paraId="0F0A315D" w14:textId="77777777" w:rsidR="00B57935" w:rsidRPr="00B57935" w:rsidRDefault="00B57935" w:rsidP="00B57935">
      <w:pPr>
        <w:rPr>
          <w:sz w:val="28"/>
        </w:rPr>
      </w:pPr>
      <w:r w:rsidRPr="00B57935">
        <w:rPr>
          <w:sz w:val="28"/>
        </w:rPr>
        <w:t>Afholdelse fra at bruge et højt leje eller et bredt leje</w:t>
      </w:r>
    </w:p>
    <w:p w14:paraId="15146F71" w14:textId="1A91BAF4" w:rsidR="00B57935" w:rsidRPr="00B57935" w:rsidRDefault="00B57935" w:rsidP="00B57935">
      <w:pPr>
        <w:rPr>
          <w:sz w:val="28"/>
        </w:rPr>
      </w:pPr>
      <w:r w:rsidRPr="00B57935">
        <w:rPr>
          <w:sz w:val="28"/>
        </w:rPr>
        <w:t>Afholdelse fra at tage imod guld og sølv.</w:t>
      </w:r>
      <w:r w:rsidR="006B3D48">
        <w:rPr>
          <w:sz w:val="28"/>
        </w:rPr>
        <w:t>”</w:t>
      </w:r>
    </w:p>
    <w:p w14:paraId="1387849F" w14:textId="77777777" w:rsidR="003538F1" w:rsidRDefault="003538F1" w:rsidP="00B57935">
      <w:pPr>
        <w:rPr>
          <w:b/>
          <w:bCs/>
          <w:sz w:val="24"/>
          <w:szCs w:val="24"/>
        </w:rPr>
      </w:pPr>
    </w:p>
    <w:p w14:paraId="4C03ED6F" w14:textId="6E0441B2" w:rsidR="00B57935" w:rsidRPr="003538F1" w:rsidRDefault="003538F1" w:rsidP="00B57935">
      <w:pPr>
        <w:rPr>
          <w:sz w:val="24"/>
          <w:szCs w:val="24"/>
        </w:rPr>
      </w:pPr>
      <w:r w:rsidRPr="003538F1">
        <w:rPr>
          <w:b/>
          <w:bCs/>
          <w:sz w:val="24"/>
          <w:szCs w:val="24"/>
        </w:rPr>
        <w:t>Kilde:</w:t>
      </w:r>
      <w:r w:rsidRPr="003538F1">
        <w:rPr>
          <w:sz w:val="24"/>
          <w:szCs w:val="24"/>
        </w:rPr>
        <w:t xml:space="preserve"> </w:t>
      </w:r>
      <w:r>
        <w:rPr>
          <w:sz w:val="24"/>
          <w:szCs w:val="24"/>
        </w:rPr>
        <w:t>”</w:t>
      </w:r>
      <w:r w:rsidR="00B57935" w:rsidRPr="003538F1">
        <w:rPr>
          <w:sz w:val="24"/>
          <w:szCs w:val="24"/>
        </w:rPr>
        <w:t xml:space="preserve">Munke jeg fastsætter disse ti forskrifter.” </w:t>
      </w:r>
      <w:proofErr w:type="spellStart"/>
      <w:r w:rsidR="00B57935" w:rsidRPr="003538F1">
        <w:rPr>
          <w:sz w:val="24"/>
          <w:szCs w:val="24"/>
        </w:rPr>
        <w:t>Vinaya-pitaka</w:t>
      </w:r>
      <w:proofErr w:type="spellEnd"/>
      <w:r w:rsidR="00B57935" w:rsidRPr="003538F1">
        <w:rPr>
          <w:sz w:val="24"/>
          <w:szCs w:val="24"/>
        </w:rPr>
        <w:t xml:space="preserve"> 1,83 i Kristensen: </w:t>
      </w:r>
      <w:r w:rsidR="00B57935" w:rsidRPr="003538F1">
        <w:rPr>
          <w:i/>
          <w:iCs/>
          <w:sz w:val="24"/>
          <w:szCs w:val="24"/>
        </w:rPr>
        <w:t>Tekster til buddhismen</w:t>
      </w:r>
      <w:r w:rsidR="00B57935" w:rsidRPr="003538F1">
        <w:rPr>
          <w:sz w:val="24"/>
          <w:szCs w:val="24"/>
        </w:rPr>
        <w:t>. Gyldendal. KBH 1980.</w:t>
      </w:r>
    </w:p>
    <w:p w14:paraId="4DB89BAE" w14:textId="77777777" w:rsidR="00B57935" w:rsidRPr="00D0786A" w:rsidRDefault="00B57935">
      <w:pPr>
        <w:rPr>
          <w:sz w:val="28"/>
        </w:rPr>
      </w:pPr>
    </w:p>
    <w:sectPr w:rsidR="00B57935" w:rsidRPr="00D0786A" w:rsidSect="00CD7562">
      <w:footerReference w:type="even" r:id="rId7"/>
      <w:footerReference w:type="default" r:id="rId8"/>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8C42" w14:textId="77777777" w:rsidR="00DC0196" w:rsidRDefault="00DC0196" w:rsidP="008D5AB4">
      <w:pPr>
        <w:spacing w:after="0" w:line="240" w:lineRule="auto"/>
      </w:pPr>
      <w:r>
        <w:separator/>
      </w:r>
    </w:p>
  </w:endnote>
  <w:endnote w:type="continuationSeparator" w:id="0">
    <w:p w14:paraId="51BD6177" w14:textId="77777777" w:rsidR="00DC0196" w:rsidRDefault="00DC0196" w:rsidP="008D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871433901"/>
      <w:docPartObj>
        <w:docPartGallery w:val="Page Numbers (Bottom of Page)"/>
        <w:docPartUnique/>
      </w:docPartObj>
    </w:sdtPr>
    <w:sdtContent>
      <w:p w14:paraId="4CDDC287" w14:textId="2DD8D8EA" w:rsidR="008D5AB4" w:rsidRDefault="008D5AB4" w:rsidP="009321C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D1AEC08" w14:textId="77777777" w:rsidR="008D5AB4" w:rsidRDefault="008D5AB4" w:rsidP="008D5AB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800060994"/>
      <w:docPartObj>
        <w:docPartGallery w:val="Page Numbers (Bottom of Page)"/>
        <w:docPartUnique/>
      </w:docPartObj>
    </w:sdtPr>
    <w:sdtContent>
      <w:p w14:paraId="16943BC3" w14:textId="3331EE6F" w:rsidR="008D5AB4" w:rsidRDefault="008D5AB4" w:rsidP="009321C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1E82AF85" w14:textId="77777777" w:rsidR="008D5AB4" w:rsidRDefault="008D5AB4" w:rsidP="008D5AB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F013" w14:textId="77777777" w:rsidR="00DC0196" w:rsidRDefault="00DC0196" w:rsidP="008D5AB4">
      <w:pPr>
        <w:spacing w:after="0" w:line="240" w:lineRule="auto"/>
      </w:pPr>
      <w:r>
        <w:separator/>
      </w:r>
    </w:p>
  </w:footnote>
  <w:footnote w:type="continuationSeparator" w:id="0">
    <w:p w14:paraId="302515F6" w14:textId="77777777" w:rsidR="00DC0196" w:rsidRDefault="00DC0196" w:rsidP="008D5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F6DF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762546BE"/>
    <w:multiLevelType w:val="hybridMultilevel"/>
    <w:tmpl w:val="C8C6C85E"/>
    <w:lvl w:ilvl="0" w:tplc="FED82F4C">
      <w:start w:val="3"/>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62"/>
    <w:rsid w:val="00012741"/>
    <w:rsid w:val="000402E4"/>
    <w:rsid w:val="0006521D"/>
    <w:rsid w:val="000C1E2B"/>
    <w:rsid w:val="00131629"/>
    <w:rsid w:val="00170769"/>
    <w:rsid w:val="001D429D"/>
    <w:rsid w:val="001E7A5F"/>
    <w:rsid w:val="003361E9"/>
    <w:rsid w:val="003538F1"/>
    <w:rsid w:val="003A7E39"/>
    <w:rsid w:val="004C02A8"/>
    <w:rsid w:val="0050733E"/>
    <w:rsid w:val="00574BA5"/>
    <w:rsid w:val="005A42E0"/>
    <w:rsid w:val="006B3D48"/>
    <w:rsid w:val="008D5AB4"/>
    <w:rsid w:val="00AB4DC5"/>
    <w:rsid w:val="00AC7D25"/>
    <w:rsid w:val="00B167DC"/>
    <w:rsid w:val="00B57935"/>
    <w:rsid w:val="00BB64FD"/>
    <w:rsid w:val="00CC6CE5"/>
    <w:rsid w:val="00CD6028"/>
    <w:rsid w:val="00CD7562"/>
    <w:rsid w:val="00D0415F"/>
    <w:rsid w:val="00D0786A"/>
    <w:rsid w:val="00DB54AF"/>
    <w:rsid w:val="00DC0196"/>
    <w:rsid w:val="00E55FAF"/>
    <w:rsid w:val="00ED793F"/>
    <w:rsid w:val="00F71358"/>
    <w:rsid w:val="00FE0E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A957"/>
  <w15:chartTrackingRefBased/>
  <w15:docId w15:val="{9C781381-CC2F-47B4-902F-7B18E8AA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7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538F1"/>
    <w:pPr>
      <w:keepNext/>
      <w:keepLines/>
      <w:spacing w:before="40" w:after="0"/>
      <w:outlineLvl w:val="1"/>
    </w:pPr>
    <w:rPr>
      <w:rFonts w:asciiTheme="majorHAnsi" w:eastAsiaTheme="majorEastAsia" w:hAnsiTheme="majorHAnsi" w:cstheme="majorBidi"/>
      <w:b/>
      <w:bCs/>
      <w:color w:val="2E74B5" w:themeColor="accent1" w:themeShade="BF"/>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0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538F1"/>
    <w:rPr>
      <w:rFonts w:asciiTheme="majorHAnsi" w:eastAsiaTheme="majorEastAsia" w:hAnsiTheme="majorHAnsi" w:cstheme="majorBidi"/>
      <w:b/>
      <w:bCs/>
      <w:color w:val="2E74B5" w:themeColor="accent1" w:themeShade="BF"/>
      <w:sz w:val="30"/>
      <w:szCs w:val="30"/>
    </w:rPr>
  </w:style>
  <w:style w:type="character" w:customStyle="1" w:styleId="Overskrift1Tegn">
    <w:name w:val="Overskrift 1 Tegn"/>
    <w:basedOn w:val="Standardskrifttypeiafsnit"/>
    <w:link w:val="Overskrift1"/>
    <w:uiPriority w:val="9"/>
    <w:rsid w:val="003A7E39"/>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unhideWhenUsed/>
    <w:rsid w:val="00FE0EF0"/>
    <w:pPr>
      <w:numPr>
        <w:numId w:val="1"/>
      </w:numPr>
      <w:contextualSpacing/>
    </w:pPr>
  </w:style>
  <w:style w:type="paragraph" w:styleId="Sidefod">
    <w:name w:val="footer"/>
    <w:basedOn w:val="Normal"/>
    <w:link w:val="SidefodTegn"/>
    <w:uiPriority w:val="99"/>
    <w:unhideWhenUsed/>
    <w:rsid w:val="008D5AB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D5AB4"/>
  </w:style>
  <w:style w:type="character" w:styleId="Sidetal">
    <w:name w:val="page number"/>
    <w:basedOn w:val="Standardskrifttypeiafsnit"/>
    <w:uiPriority w:val="99"/>
    <w:semiHidden/>
    <w:unhideWhenUsed/>
    <w:rsid w:val="008D5AB4"/>
  </w:style>
  <w:style w:type="character" w:styleId="Hyperlink">
    <w:name w:val="Hyperlink"/>
    <w:basedOn w:val="Standardskrifttypeiafsnit"/>
    <w:uiPriority w:val="99"/>
    <w:unhideWhenUsed/>
    <w:rsid w:val="008D5AB4"/>
    <w:rPr>
      <w:color w:val="0563C1" w:themeColor="hyperlink"/>
      <w:u w:val="single"/>
    </w:rPr>
  </w:style>
  <w:style w:type="character" w:styleId="Ulstomtale">
    <w:name w:val="Unresolved Mention"/>
    <w:basedOn w:val="Standardskrifttypeiafsnit"/>
    <w:uiPriority w:val="99"/>
    <w:semiHidden/>
    <w:unhideWhenUsed/>
    <w:rsid w:val="008D5AB4"/>
    <w:rPr>
      <w:color w:val="605E5C"/>
      <w:shd w:val="clear" w:color="auto" w:fill="E1DFDD"/>
    </w:rPr>
  </w:style>
  <w:style w:type="character" w:styleId="BesgtLink">
    <w:name w:val="FollowedHyperlink"/>
    <w:basedOn w:val="Standardskrifttypeiafsnit"/>
    <w:uiPriority w:val="99"/>
    <w:semiHidden/>
    <w:unhideWhenUsed/>
    <w:rsid w:val="008D5AB4"/>
    <w:rPr>
      <w:color w:val="954F72" w:themeColor="followedHyperlink"/>
      <w:u w:val="single"/>
    </w:rPr>
  </w:style>
  <w:style w:type="paragraph" w:styleId="Markeringsbobletekst">
    <w:name w:val="Balloon Text"/>
    <w:basedOn w:val="Normal"/>
    <w:link w:val="MarkeringsbobletekstTegn"/>
    <w:uiPriority w:val="99"/>
    <w:semiHidden/>
    <w:unhideWhenUsed/>
    <w:rsid w:val="008D5AB4"/>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8D5A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1651</Words>
  <Characters>10072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Magnus Barfod Suhr</cp:lastModifiedBy>
  <cp:revision>3</cp:revision>
  <cp:lastPrinted>2020-05-07T12:07:00Z</cp:lastPrinted>
  <dcterms:created xsi:type="dcterms:W3CDTF">2020-05-07T12:07:00Z</dcterms:created>
  <dcterms:modified xsi:type="dcterms:W3CDTF">2020-05-07T12:22:00Z</dcterms:modified>
</cp:coreProperties>
</file>